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455282"/>
      <w:bookmarkStart w:id="1" w:name="_Toc128659063"/>
      <w:bookmarkStart w:id="2" w:name="_Toc127542528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安庆市立医院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青光眼引流阀采购</w:t>
      </w:r>
      <w:r>
        <w:rPr>
          <w:rFonts w:hint="eastAsia" w:ascii="仿宋" w:hAnsi="仿宋" w:eastAsia="仿宋" w:cs="仿宋"/>
          <w:sz w:val="28"/>
          <w:szCs w:val="28"/>
          <w:u w:val="single"/>
        </w:rPr>
        <w:t>项目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47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"_Toc12130"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第一章 询价公告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_Toc12130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"_Toc5832"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第二章 询价响应人须知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_Toc5832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2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"_Toc4406"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 xml:space="preserve">第三章 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需求及技术要求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_Toc4406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6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"_Toc9468"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第四章 合同主要条款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_Toc9468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7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"_Toc25006"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第五章 询价响应文件格式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_Toc25006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10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pStyle w:val="33"/>
        <w:tabs>
          <w:tab w:val="right" w:leader="dot" w:pos="8312"/>
        </w:tabs>
        <w:spacing w:line="360" w:lineRule="auto"/>
        <w:rPr>
          <w:rFonts w:hint="eastAsia" w:ascii="仿宋" w:hAnsi="仿宋" w:eastAsia="仿宋" w:cs="仿宋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"_Toc32763"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附件：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ab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instrText xml:space="preserve"> PAGEREF _Toc32763 \h </w:instrTex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t>16</w:t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sz w:val="28"/>
          <w:szCs w:val="28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  <w:bookmarkStart w:id="4" w:name="_Toc128058643"/>
      <w:bookmarkStart w:id="5" w:name="_Toc128984803"/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ascii="宋体" w:hAnsi="宋体"/>
          <w:b/>
          <w:bCs/>
          <w:kern w:val="44"/>
          <w:sz w:val="36"/>
          <w:szCs w:val="36"/>
        </w:rPr>
      </w:pPr>
      <w:bookmarkStart w:id="7" w:name="_Toc28359011"/>
      <w:bookmarkStart w:id="8" w:name="_Toc35393797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青光眼引流阀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采购项目询价公告</w:t>
      </w:r>
      <w:bookmarkEnd w:id="7"/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安庆市立医院现对青光眼引流阀采购项目（项目编号：AQSLYY-20230047）进行采购，欢迎符合本项目条件要求的供应商前来报名。现将有关事宜公告如下：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1、项目概况：安庆市立医院青光眼引流阀采购项目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2、最高限价：人民币玖万元整（￥90000.00元）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二、投报人要求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1、具有合法有效的营业执照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2、具有医疗器械生产或经营资质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3、不接受联合体投报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  <w:bookmarkStart w:id="65" w:name="_GoBack"/>
      <w:bookmarkEnd w:id="6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 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 日至 2023 年  月  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报名方式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五、获取采购文件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  <w:bookmarkStart w:id="9" w:name="_Toc35393801"/>
      <w:bookmarkStart w:id="10" w:name="_Toc35393632"/>
      <w:bookmarkStart w:id="11" w:name="_Toc28359015"/>
      <w:bookmarkStart w:id="12" w:name="_Toc2835909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561" w:leftChars="267" w:firstLine="0" w:firstLineChars="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招标采购中心，徐老师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 月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058644"/>
      <w:bookmarkStart w:id="14" w:name="_Toc128984804"/>
      <w:bookmarkStart w:id="15" w:name="_Toc5832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16301"/>
      <w:bookmarkStart w:id="17" w:name="_Toc128984805"/>
      <w:bookmarkStart w:id="18" w:name="_Toc128659067"/>
      <w:bookmarkStart w:id="19" w:name="_Toc27607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青光眼引流阀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人民币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玖万</w:t>
            </w:r>
            <w:r>
              <w:rPr>
                <w:rFonts w:hint="eastAsia" w:ascii="宋体" w:hAnsi="宋体" w:cs="仿宋"/>
                <w:szCs w:val="21"/>
              </w:rPr>
              <w:t>元整（￥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90000</w:t>
            </w:r>
            <w:r>
              <w:rPr>
                <w:rFonts w:ascii="宋体" w:hAnsi="宋体" w:cs="仿宋"/>
                <w:szCs w:val="21"/>
                <w:u w:val="none"/>
              </w:rPr>
              <w:t>.00</w:t>
            </w:r>
            <w:r>
              <w:rPr>
                <w:rFonts w:hint="eastAsia" w:ascii="宋体" w:hAnsi="宋体" w:cs="仿宋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两</w:t>
            </w: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年或采购费用总额达到本项目总成交价时，以先到者为准。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青光眼引流阀</w:t>
            </w:r>
            <w:r>
              <w:rPr>
                <w:rFonts w:hint="eastAsia" w:ascii="宋体" w:hAnsi="宋体" w:cs="仿宋"/>
                <w:szCs w:val="21"/>
              </w:rPr>
              <w:t>采购项目询价公告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评审</w:t>
            </w:r>
            <w:r>
              <w:rPr>
                <w:rFonts w:hint="eastAsia" w:ascii="宋体" w:hAnsi="宋体" w:cs="仿宋"/>
                <w:szCs w:val="21"/>
              </w:rPr>
              <w:t>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耗材分批供货，根据</w:t>
            </w:r>
            <w:r>
              <w:rPr>
                <w:rFonts w:hint="eastAsia" w:ascii="宋体" w:hAnsi="宋体" w:cs="仿宋"/>
                <w:szCs w:val="21"/>
              </w:rPr>
              <w:t>每月实际使用量入账，按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采购人</w:t>
            </w:r>
            <w:r>
              <w:rPr>
                <w:rFonts w:hint="eastAsia" w:ascii="宋体" w:hAnsi="宋体" w:cs="仿宋"/>
                <w:szCs w:val="21"/>
              </w:rPr>
              <w:t>规定（预计6个月后）结算。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4999"/>
      <w:bookmarkStart w:id="21" w:name="_Toc12932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659068"/>
      <w:bookmarkStart w:id="23" w:name="_Toc128984806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样品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（如有）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21358"/>
      <w:bookmarkStart w:id="30" w:name="_Toc418517860"/>
      <w:bookmarkStart w:id="31" w:name="_Toc417655923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5203"/>
      <w:bookmarkStart w:id="33" w:name="_Toc128058645"/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128984807"/>
      <w:bookmarkStart w:id="35" w:name="_Toc4406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8001"/>
      <w:bookmarkStart w:id="37" w:name="_Toc24273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1066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69"/>
        <w:gridCol w:w="4277"/>
        <w:gridCol w:w="1095"/>
        <w:gridCol w:w="1095"/>
        <w:gridCol w:w="1095"/>
        <w:gridCol w:w="10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0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称</w:t>
            </w:r>
          </w:p>
        </w:tc>
        <w:tc>
          <w:tcPr>
            <w:tcW w:w="42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主要技术参数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预计两年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单价最高限价（元）</w:t>
            </w:r>
          </w:p>
        </w:tc>
        <w:tc>
          <w:tcPr>
            <w:tcW w:w="109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青光眼引流阀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适应症:专用于各类难治性青光眼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引流管（mm）：内径:0.305外径0.635 长度：25.00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阀体（mm）：厚:0.9 长16.00宽13.00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重量（g）：0.11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流量：12ul/min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压力控制：8-12mmHg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表面积：184mm2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62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以上技术参数必须全部满足，有一项不满足的按照废标处理。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响应人的响应文件必须标明所投货物的品牌与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型号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，保证原厂正品供货，提供相关资料等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18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本次采购供货期限为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两年或采购费用总额达到本项目总成交价时，以先到者为准。</w:t>
            </w:r>
          </w:p>
          <w:p>
            <w:pPr>
              <w:pStyle w:val="18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本项目须提供样品评审。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本次采购最高限价：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人民币玖万元整（￥90000.00元）。</w:t>
            </w:r>
          </w:p>
        </w:tc>
      </w:tr>
    </w:tbl>
    <w:p>
      <w:pPr>
        <w:pStyle w:val="18"/>
        <w:rPr>
          <w:rFonts w:hint="eastAsia"/>
          <w:lang w:eastAsia="zh-CN"/>
        </w:rPr>
      </w:pP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0" w:name="_Toc8808"/>
      <w:bookmarkStart w:id="41" w:name="_Toc21193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、货物质量</w:t>
      </w:r>
      <w:bookmarkEnd w:id="40"/>
      <w:bookmarkEnd w:id="41"/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成交人提供的货物必须是全新、原装、合格正品，完全符合国家规定的质量标准和厂方的标准。货物完好，配件齐全。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42" w:name="_Toc466"/>
      <w:bookmarkStart w:id="43" w:name="_Toc23093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、验收</w:t>
      </w:r>
      <w:bookmarkEnd w:id="42"/>
      <w:bookmarkEnd w:id="43"/>
    </w:p>
    <w:p>
      <w:pPr>
        <w:pStyle w:val="75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产品每次验收时成交人须向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采购人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提供质量检验报告书，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如为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进口产品首次验收时还需提供进口报关单、商检证及中英文说明书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4" w:name="_Toc9468"/>
      <w:bookmarkStart w:id="45" w:name="_Toc12898480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4"/>
      <w:bookmarkEnd w:id="45"/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甲方（采购人）：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乙方（成交人）：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bookmarkStart w:id="46" w:name="_Toc130907299"/>
      <w:r>
        <w:rPr>
          <w:rFonts w:hint="eastAsia" w:ascii="仿宋" w:hAnsi="仿宋" w:eastAsia="仿宋" w:cs="Times New Roman"/>
          <w:sz w:val="28"/>
          <w:szCs w:val="28"/>
          <w:highlight w:val="none"/>
        </w:rPr>
        <w:t>根据《中华人民共和国民法典》及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 xml:space="preserve">         （项目编号：）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响应文件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等，甲、乙双方经协商一致，签订如下合同条款，并共同遵守。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59" w:leftChars="266" w:firstLine="0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一、货物名称、生产厂家、品牌、数量及金额</w:t>
      </w:r>
    </w:p>
    <w:tbl>
      <w:tblPr>
        <w:tblStyle w:val="65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70"/>
        <w:gridCol w:w="2700"/>
        <w:gridCol w:w="787"/>
        <w:gridCol w:w="1043"/>
        <w:gridCol w:w="129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生产厂家、品牌、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规格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本合同所列货物须满足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甲方采购文件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要求，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且与乙方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的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lang w:eastAsia="zh-CN"/>
        </w:rPr>
        <w:t>响应文件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一致。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highlight w:val="none"/>
          <w:lang w:val="en-US" w:eastAsia="zh-CN" w:bidi="ar-SA"/>
        </w:rPr>
        <w:t>二、合同期限：</w:t>
      </w:r>
    </w:p>
    <w:bookmarkEnd w:id="46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乙方提供的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必须符合国家规定的质量标准及相关要求，并符合甲方对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规格型号的具体采购要求。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须提供真实的资质证件含注册证、产品质量合格证书、检验报告等。进口产品必须有中文标识。乙方产品如因下述原因：（1）产品质量原因；（2）产品与标签不符国家相关规定的；由此而造成的一切损失，均由乙方承担全部责任（包括行政、经济、医疗纠纷等法律责任）。乙方接到甲方通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产品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质量存在问题后1小时内作出反应，并做出相应处理方案。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、乙方应按照甲方指定时间、地点送货、验收，运输等费用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及运输途中的风险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由乙方自行承担。按照产品属性（如是否需要冷链等）进行配送，如需冷链配送产品必须有冷链配送，符合相关要求。如果不能按照要求及时供货，造成的一切后果及费用均由乙方承担。乙方在一个月内如有两次不能及时供货，影响到甲方医院临床使用，应视为乙方违约，甲方有权终止或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并向甲方支付违约金10000元。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产品在运输过程中发生的破损，乙方应负责免费调换。由此而影响到甲方医院临床使用，乙方应承担一切后果并承担所有费用。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杜绝采购过程中一切不正当竞争行为，乙方必须保证正常供货，满足院方需求。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合同有效期内乙方不得以任何理由提出无法供货或要求涨价，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如不能正常供货者，将列入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不良行为记录名单。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、付款方式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：分批供货，根据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每月实际使用量入账，按甲方规定（预计6个月后）结算。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甲方付款前，乙方应向甲方开具等额有效的增值税发票，乙方开票载明主体需与合同主体一致，甲方未收到发票或收到发票与合同主体不一致的，有权不予支付相应款项直至乙方提供合格发票，并不承担延迟付款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、属于集采平台目录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的产品，必须满足两票制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，并在平台配送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价格高于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集采平台价格，乙方须主动将所供产品价格降为平台价格。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、在本合同实施过程中，如因主管部门等政府行为需要重新招标时，合同自动终止。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、乙方需另行向甲方院内物流管理企业缴纳规定的服务费，服务费不包含在此合同总价内。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违约责任：乙方在本合同的实施过程中有违约、违法行为的，甲方有权解除或终止本合同且有权追究乙方相应的法律责任，由乙方承担由此造成的一切损失（包括但不限于诉讼费、保全费、保全担保费、律师费等)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十二、合同的解除：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1、如果乙方违反合同约定，甲方有权解除本合同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2、乙方因其自身原因被取消供货资格的，本合同自动解除，甲方不负任何责任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3、除本合同约定的合同解除情形外，合同其他关于合同解除的约定同样有效。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合同争议解决方式：在合同履行过程中发生争议的，由双方当事人友好协商解决；协商调解不成的，向安庆仲裁委员会申请仲裁。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 xml:space="preserve">   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、本合同组成及解释先后顺序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下列文件为本合同的组成部分，并构成一个整体，需综合解释、相互补充。如果下列文件内容出现不一致的情形，在保证按照采购文件确定的事项前提下，组成本合同的多个文件的优先适用顺序如下：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本合同及其补充合同、变更协议；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文件（含澄清或者说明文件）；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3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文件（含澄清或者修改文件）；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其他补充约定事项。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十五、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本合同一式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伍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份，甲方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执肆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份，乙方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执壹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份，双方签字盖章后生效。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　　　　           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     </w:t>
      </w: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47" w:name="_Toc331685783"/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pStyle w:val="7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78" w:afterLines="25"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</w:tc>
      </w:tr>
      <w:bookmarkEnd w:id="47"/>
    </w:tbl>
    <w:p>
      <w:pPr>
        <w:tabs>
          <w:tab w:val="left" w:pos="3640"/>
        </w:tabs>
        <w:autoSpaceDE w:val="0"/>
        <w:autoSpaceDN w:val="0"/>
        <w:spacing w:line="72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8" w:name="_Toc128984809"/>
      <w:bookmarkStart w:id="49" w:name="_Toc25006"/>
      <w:bookmarkStart w:id="50" w:name="_Toc128058647"/>
      <w:bookmarkStart w:id="51" w:name="_Toc19036"/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8"/>
      <w:bookmarkEnd w:id="49"/>
      <w:bookmarkEnd w:id="50"/>
      <w:bookmarkEnd w:id="51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18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52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52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4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（盖章） </w:t>
      </w:r>
    </w:p>
    <w:p>
      <w:pPr>
        <w:pStyle w:val="34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4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53" w:name="_Toc12161"/>
      <w:bookmarkStart w:id="54" w:name="_Toc7098"/>
      <w:bookmarkStart w:id="55" w:name="_Toc128984810"/>
      <w:bookmarkStart w:id="56" w:name="_Toc54939202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53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54"/>
      <w:bookmarkEnd w:id="55"/>
      <w:bookmarkEnd w:id="56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7" w:name="_Toc14554"/>
      <w:bookmarkStart w:id="58" w:name="_Toc128984812"/>
      <w:bookmarkStart w:id="59" w:name="_Toc2920"/>
      <w:bookmarkStart w:id="60" w:name="_Toc8668"/>
      <w:bookmarkStart w:id="61" w:name="_Toc5493920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7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8"/>
      <w:bookmarkEnd w:id="59"/>
      <w:bookmarkEnd w:id="60"/>
      <w:bookmarkEnd w:id="61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62" w:name="_Toc13353"/>
    </w:p>
    <w:bookmarkEnd w:id="62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63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63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7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64" w:name="_Toc32763"/>
      <w:r>
        <w:rPr>
          <w:rFonts w:hint="eastAsia"/>
          <w:sz w:val="32"/>
          <w:szCs w:val="32"/>
        </w:rPr>
        <w:t>附件</w:t>
      </w:r>
      <w:bookmarkEnd w:id="64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第一章 询价公告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7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7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5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6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8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2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3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310257F"/>
    <w:rsid w:val="03471941"/>
    <w:rsid w:val="043E6FFD"/>
    <w:rsid w:val="056D649C"/>
    <w:rsid w:val="0781151E"/>
    <w:rsid w:val="09A7170E"/>
    <w:rsid w:val="0A295F8E"/>
    <w:rsid w:val="0BE066B8"/>
    <w:rsid w:val="0CB37078"/>
    <w:rsid w:val="0D304E87"/>
    <w:rsid w:val="0D584D4E"/>
    <w:rsid w:val="0E891C2A"/>
    <w:rsid w:val="0E9F5702"/>
    <w:rsid w:val="10905E92"/>
    <w:rsid w:val="10D0572A"/>
    <w:rsid w:val="12836356"/>
    <w:rsid w:val="12906DE8"/>
    <w:rsid w:val="131D0BC5"/>
    <w:rsid w:val="15730819"/>
    <w:rsid w:val="15F24541"/>
    <w:rsid w:val="1673643E"/>
    <w:rsid w:val="16C60966"/>
    <w:rsid w:val="17DB4062"/>
    <w:rsid w:val="189B3BAA"/>
    <w:rsid w:val="18BA6619"/>
    <w:rsid w:val="1AD677F0"/>
    <w:rsid w:val="1B7C4F70"/>
    <w:rsid w:val="1BA55CE8"/>
    <w:rsid w:val="1C2A0F8C"/>
    <w:rsid w:val="1C3E199A"/>
    <w:rsid w:val="1DA02F18"/>
    <w:rsid w:val="200425B9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D835BEF"/>
    <w:rsid w:val="3F224D48"/>
    <w:rsid w:val="3F393822"/>
    <w:rsid w:val="40773958"/>
    <w:rsid w:val="40EB140D"/>
    <w:rsid w:val="41842FCE"/>
    <w:rsid w:val="42311DB5"/>
    <w:rsid w:val="43830435"/>
    <w:rsid w:val="43D812F9"/>
    <w:rsid w:val="477102EE"/>
    <w:rsid w:val="47797031"/>
    <w:rsid w:val="47B152BD"/>
    <w:rsid w:val="4861314E"/>
    <w:rsid w:val="4912240F"/>
    <w:rsid w:val="4A0B6A2C"/>
    <w:rsid w:val="4AB421BB"/>
    <w:rsid w:val="4BF928BD"/>
    <w:rsid w:val="4C555E4C"/>
    <w:rsid w:val="4D2D7D2E"/>
    <w:rsid w:val="4D416FA2"/>
    <w:rsid w:val="4D7B5A28"/>
    <w:rsid w:val="50B548A6"/>
    <w:rsid w:val="519846FD"/>
    <w:rsid w:val="526A177C"/>
    <w:rsid w:val="527A2EF2"/>
    <w:rsid w:val="545A251E"/>
    <w:rsid w:val="56AD7719"/>
    <w:rsid w:val="571D5670"/>
    <w:rsid w:val="57BB3785"/>
    <w:rsid w:val="57F0156E"/>
    <w:rsid w:val="58603B5D"/>
    <w:rsid w:val="5A4B3BBE"/>
    <w:rsid w:val="5B583684"/>
    <w:rsid w:val="5D144A17"/>
    <w:rsid w:val="5D5460E9"/>
    <w:rsid w:val="5DAD3BA5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64B2332"/>
    <w:rsid w:val="66D659BE"/>
    <w:rsid w:val="694357F2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16F599B"/>
    <w:rsid w:val="72E43D9F"/>
    <w:rsid w:val="72EA2869"/>
    <w:rsid w:val="72F802FE"/>
    <w:rsid w:val="736401D7"/>
    <w:rsid w:val="74725D4A"/>
    <w:rsid w:val="764D21DB"/>
    <w:rsid w:val="76522D10"/>
    <w:rsid w:val="768C0607"/>
    <w:rsid w:val="77B222A3"/>
    <w:rsid w:val="7A282B7D"/>
    <w:rsid w:val="7ADE1912"/>
    <w:rsid w:val="7B713A12"/>
    <w:rsid w:val="7C073314"/>
    <w:rsid w:val="7C585246"/>
    <w:rsid w:val="7C720396"/>
    <w:rsid w:val="7C99023C"/>
    <w:rsid w:val="7CEA15BA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6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7">
    <w:name w:val="heading 3"/>
    <w:basedOn w:val="1"/>
    <w:next w:val="1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8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9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10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11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2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3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next w:val="4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14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5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6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7">
    <w:name w:val="List Number"/>
    <w:basedOn w:val="18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8">
    <w:name w:val="Normal Indent"/>
    <w:basedOn w:val="1"/>
    <w:qFormat/>
    <w:uiPriority w:val="0"/>
    <w:pPr>
      <w:ind w:firstLine="420"/>
    </w:pPr>
    <w:rPr>
      <w:szCs w:val="20"/>
    </w:rPr>
  </w:style>
  <w:style w:type="paragraph" w:styleId="19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20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21">
    <w:name w:val="Document Map"/>
    <w:basedOn w:val="1"/>
    <w:qFormat/>
    <w:uiPriority w:val="0"/>
    <w:pPr>
      <w:shd w:val="clear" w:color="auto" w:fill="000080"/>
    </w:pPr>
  </w:style>
  <w:style w:type="paragraph" w:styleId="22">
    <w:name w:val="annotation text"/>
    <w:basedOn w:val="1"/>
    <w:link w:val="80"/>
    <w:qFormat/>
    <w:uiPriority w:val="0"/>
    <w:pPr>
      <w:jc w:val="left"/>
    </w:pPr>
  </w:style>
  <w:style w:type="paragraph" w:styleId="23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4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5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6">
    <w:name w:val="Body Text"/>
    <w:basedOn w:val="1"/>
    <w:next w:val="27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7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8">
    <w:name w:val="List 2"/>
    <w:basedOn w:val="1"/>
    <w:qFormat/>
    <w:uiPriority w:val="0"/>
    <w:pPr>
      <w:ind w:left="100" w:leftChars="200" w:hanging="200" w:hangingChars="200"/>
    </w:pPr>
  </w:style>
  <w:style w:type="paragraph" w:styleId="29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30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1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3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4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5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6">
    <w:name w:val="Date"/>
    <w:basedOn w:val="1"/>
    <w:next w:val="1"/>
    <w:qFormat/>
    <w:uiPriority w:val="0"/>
    <w:rPr>
      <w:sz w:val="44"/>
      <w:szCs w:val="20"/>
    </w:rPr>
  </w:style>
  <w:style w:type="paragraph" w:styleId="37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8">
    <w:name w:val="Balloon Text"/>
    <w:basedOn w:val="1"/>
    <w:link w:val="83"/>
    <w:qFormat/>
    <w:uiPriority w:val="0"/>
    <w:rPr>
      <w:sz w:val="18"/>
      <w:szCs w:val="18"/>
    </w:rPr>
  </w:style>
  <w:style w:type="paragraph" w:styleId="39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0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3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4">
    <w:name w:val="index heading"/>
    <w:basedOn w:val="1"/>
    <w:next w:val="45"/>
    <w:qFormat/>
    <w:uiPriority w:val="0"/>
    <w:pPr>
      <w:widowControl/>
      <w:jc w:val="left"/>
    </w:pPr>
    <w:rPr>
      <w:kern w:val="0"/>
      <w:sz w:val="24"/>
    </w:rPr>
  </w:style>
  <w:style w:type="paragraph" w:styleId="45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6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7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8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9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50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1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2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3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4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5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6">
    <w:name w:val="Body Text 2"/>
    <w:basedOn w:val="1"/>
    <w:qFormat/>
    <w:uiPriority w:val="0"/>
    <w:pPr>
      <w:spacing w:after="120" w:line="480" w:lineRule="auto"/>
    </w:pPr>
  </w:style>
  <w:style w:type="paragraph" w:styleId="57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8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60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1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2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3">
    <w:name w:val="annotation subject"/>
    <w:basedOn w:val="22"/>
    <w:next w:val="22"/>
    <w:qFormat/>
    <w:uiPriority w:val="0"/>
    <w:rPr>
      <w:b/>
      <w:bCs/>
    </w:rPr>
  </w:style>
  <w:style w:type="paragraph" w:styleId="64">
    <w:name w:val="Body Text First Indent"/>
    <w:basedOn w:val="26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5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6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7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22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3"/>
    <w:qFormat/>
    <w:uiPriority w:val="39"/>
    <w:rPr>
      <w:i/>
      <w:iCs/>
      <w:kern w:val="2"/>
    </w:rPr>
  </w:style>
  <w:style w:type="character" w:customStyle="1" w:styleId="82">
    <w:name w:val="纯文本 字符"/>
    <w:link w:val="34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8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9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4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8"/>
    <w:next w:val="64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6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4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9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7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7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8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5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3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10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18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18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5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7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6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6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6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7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6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5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5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5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2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7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7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7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6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4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6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11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50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6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9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8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6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4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18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8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6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8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6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6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5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18</Pages>
  <Words>5281</Words>
  <Characters>5494</Characters>
  <Lines>44</Lines>
  <Paragraphs>12</Paragraphs>
  <TotalTime>42</TotalTime>
  <ScaleCrop>false</ScaleCrop>
  <LinksUpToDate>false</LinksUpToDate>
  <CharactersWithSpaces>6827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2023-03-06T03:44:00Z</cp:lastPrinted>
  <dcterms:modified xsi:type="dcterms:W3CDTF">2023-06-12T06:52:58Z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136453BB52CF41AABF57111D7CC042B4_13</vt:lpwstr>
  </property>
</Properties>
</file>