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542528"/>
      <w:bookmarkStart w:id="1" w:name="_Toc128659063"/>
      <w:bookmarkStart w:id="2" w:name="_Toc127455282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>可吸收性敷料</w:t>
      </w:r>
      <w:r>
        <w:rPr>
          <w:rFonts w:hint="eastAsia" w:ascii="宋体" w:hAnsi="宋体" w:cs="方正公文小标宋"/>
          <w:sz w:val="28"/>
          <w:szCs w:val="28"/>
          <w:u w:val="single"/>
        </w:rPr>
        <w:t>采购项目</w:t>
      </w:r>
      <w:r>
        <w:rPr>
          <w:rFonts w:hint="eastAsia" w:ascii="宋体" w:hAnsi="宋体" w:cs="方正公文小标宋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三次）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HW</w:t>
      </w:r>
      <w:r>
        <w:rPr>
          <w:rFonts w:ascii="仿宋" w:hAnsi="仿宋" w:eastAsia="仿宋"/>
          <w:sz w:val="28"/>
          <w:szCs w:val="28"/>
          <w:u w:val="single"/>
        </w:rPr>
        <w:t>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3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7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8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19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984803"/>
      <w:bookmarkStart w:id="5" w:name="_Toc12805864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/>
          <w:b/>
          <w:bCs/>
          <w:kern w:val="44"/>
          <w:sz w:val="36"/>
          <w:szCs w:val="36"/>
          <w:lang w:eastAsia="zh-CN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可吸收性敷料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采购项目询价公告</w:t>
      </w:r>
      <w:bookmarkEnd w:id="7"/>
      <w:bookmarkEnd w:id="8"/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三次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）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安庆市立医院现对可吸收性敷料（项目编号：AQSLYY-HW-20230021）进行采购，欢迎符合本项目条件要求的供应商前来报名。现将有关事宜公告如下：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tbl>
      <w:tblPr>
        <w:tblStyle w:val="6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40"/>
        <w:gridCol w:w="860"/>
        <w:gridCol w:w="900"/>
        <w:gridCol w:w="1836"/>
        <w:gridCol w:w="136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产品名称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单位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单价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限价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（元）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合价（元）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6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可吸收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性敷料</w:t>
            </w:r>
          </w:p>
        </w:tc>
        <w:tc>
          <w:tcPr>
            <w:tcW w:w="15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约2cm*3cm</w:t>
            </w:r>
          </w:p>
        </w:tc>
        <w:tc>
          <w:tcPr>
            <w:tcW w:w="8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  <w:tc>
          <w:tcPr>
            <w:tcW w:w="18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3000.00</w:t>
            </w:r>
          </w:p>
        </w:tc>
        <w:tc>
          <w:tcPr>
            <w:tcW w:w="13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60000.00</w:t>
            </w:r>
          </w:p>
        </w:tc>
        <w:tc>
          <w:tcPr>
            <w:tcW w:w="115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约4cm*3cm</w:t>
            </w:r>
          </w:p>
        </w:tc>
        <w:tc>
          <w:tcPr>
            <w:tcW w:w="8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  <w:tc>
          <w:tcPr>
            <w:tcW w:w="18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3740.00</w:t>
            </w:r>
          </w:p>
        </w:tc>
        <w:tc>
          <w:tcPr>
            <w:tcW w:w="13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74800.00</w:t>
            </w:r>
          </w:p>
        </w:tc>
        <w:tc>
          <w:tcPr>
            <w:tcW w:w="115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6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7656" w:type="dxa"/>
            <w:gridSpan w:val="6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人民币壹拾叁万肆仟捌佰元整（￥134800.00元）</w:t>
            </w:r>
          </w:p>
        </w:tc>
      </w:tr>
    </w:tbl>
    <w:p>
      <w:pPr>
        <w:spacing w:line="300" w:lineRule="auto"/>
        <w:ind w:left="561" w:leftChars="267"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投报人如为生产厂家，应具备《医疗器械经营许可证》(或医疗器械经营备案凭证)、《医疗器械生产许可证》（须在有效期内）；如为代理商或经销商投报，应具有《医疗器械经营许可证》(或医疗器械经营备案凭证)(须在有效期内)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日至2023年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报名方式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pStyle w:val="2"/>
        <w:ind w:left="0" w:leftChars="0" w:firstLine="0" w:firstLineChars="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134745" cy="1134745"/>
            <wp:effectExtent l="0" t="0" r="8255" b="8255"/>
            <wp:docPr id="1" name="图片 1" descr="报名二维码（三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（三次）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获取采购文件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</w:t>
      </w:r>
      <w:bookmarkStart w:id="61" w:name="_GoBack"/>
      <w:bookmarkEnd w:id="61"/>
      <w:r>
        <w:rPr>
          <w:rFonts w:hint="eastAsia" w:ascii="仿宋" w:hAnsi="仿宋" w:eastAsia="仿宋" w:cs="宋体"/>
          <w:sz w:val="28"/>
          <w:szCs w:val="28"/>
        </w:rPr>
        <w:t>附件下载采购文件。</w:t>
      </w:r>
      <w:bookmarkStart w:id="9" w:name="_Toc35393801"/>
      <w:bookmarkStart w:id="10" w:name="_Toc28359092"/>
      <w:bookmarkStart w:id="11" w:name="_Toc35393632"/>
      <w:bookmarkStart w:id="12" w:name="_Toc2835901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六、响应文件提交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七、现场评审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招标采购中心，谢老师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2023年5月4日</w:t>
      </w:r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5832"/>
      <w:bookmarkStart w:id="15" w:name="_Toc12805864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6301"/>
      <w:bookmarkStart w:id="17" w:name="_Toc128984805"/>
      <w:bookmarkStart w:id="18" w:name="_Toc27607"/>
      <w:bookmarkStart w:id="19" w:name="_Toc12865906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</w:t>
            </w:r>
            <w:r>
              <w:rPr>
                <w:rFonts w:ascii="宋体" w:hAnsi="宋体" w:cs="仿宋"/>
                <w:szCs w:val="21"/>
              </w:rPr>
              <w:t>W-202300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可吸收性敷料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三次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人民币壹拾叁万肆仟捌佰元整（￥134800.00元）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自合同签订之日起2年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或采购费用总额达到本项目总成交价时，以先到者为准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可吸收性敷料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 w:eastAsia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snapToGrid w:val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</w:p>
          <w:p>
            <w:pPr>
              <w:numPr>
                <w:ilvl w:val="0"/>
                <w:numId w:val="23"/>
              </w:num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。以报价为主要因素确定成交候选供应商，即在全部满足询价文件实质性要求（包含样品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418517860"/>
      <w:bookmarkStart w:id="30" w:name="_Toc21358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4406"/>
      <w:bookmarkStart w:id="35" w:name="_Toc128984807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1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28"/>
        <w:gridCol w:w="4390"/>
        <w:gridCol w:w="1055"/>
        <w:gridCol w:w="733"/>
        <w:gridCol w:w="696"/>
        <w:gridCol w:w="828"/>
        <w:gridCol w:w="76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bookmarkStart w:id="4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货物名称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规格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合价（元）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可吸收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性敷料</w:t>
            </w:r>
          </w:p>
        </w:tc>
        <w:tc>
          <w:tcPr>
            <w:tcW w:w="4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、结构及组成：该产品的主要成分来源于猪腱的无末端胶原蛋白(Atelocollagen),本次采购加强型，加强型为两层式长方形，上层为硅胶膜，主要起保护创面和防止创面水分过度蒸发的作用，2-3周时需剥去硅胶膜（最长不超过36天）;下层为胶原蛋白海绵，用于暂入表皮的基底。一次性使用产品，环氧乙烷灭菌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2、适用范围：该产品适用于下述疾病及由于创伤导致的全层皮肤缺损：(1)III度烧伤；(2)外伤性皮肤缺损；(3)肿瘤或溃疡、胎迹等切除后的皮肤缺损。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3、评审现场需带以下样品：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①约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2cm*3cm（加强型）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②约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4cm*3cm（加强型）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约2cm*3cm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60000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约4cm*3cm</w:t>
            </w:r>
          </w:p>
        </w:tc>
        <w:tc>
          <w:tcPr>
            <w:tcW w:w="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片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3740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74800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1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以上技术参数必须全部满足，有一项不满足的按照废标处理。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本次采购最高限价：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人民币壹拾叁万肆仟捌佰元整（￥134800.00元）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bookmarkEnd w:id="4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响应人的响应文件必须标明所投货物的品牌与参数，保证原厂正品供货，提供相关资料等。</w:t>
      </w:r>
    </w:p>
    <w:p>
      <w:pPr>
        <w:pStyle w:val="64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1" w:name="_Toc128984808"/>
      <w:bookmarkStart w:id="42" w:name="_Toc946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1"/>
      <w:bookmarkEnd w:id="42"/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甲方（采购人）：                           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乙方（成交人）：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    （项目名称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项目编号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）    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文件、响应文件等，甲、乙双方经协商一致，签订如下合同条款，并共同遵守。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60" w:hangingChars="20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3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</w:rPr>
        <w:t>文件要求，其次与成交单位的响应文件一致。</w:t>
      </w:r>
    </w:p>
    <w:p>
      <w:pPr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合同期限：自合同签订之日起2年或采购费用总额达到本项目总成交价时，以先到者为准。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（安庆市立医院设备库房）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、属于集采平台目录的产品，必须满足两票制，并在平台配送，如因集采平台价格降低导致价格低于合同价，乙方须主动将所供产品价格降为平台以下价格。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、合同争议解决方式：本合同在履行过程中发生的争议，由双方当事人友好协商解决；协商调解不成的，向安庆仲裁委员会申请仲裁。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违约责任：乙方在本合同的实施过程中有违约、违法行为的，甲方有权解除或终止本合同且有权追究乙方相应的法律责任，并承担由此造成的一切损失（包括但不限于诉讼费、保全费、保全担保费、律师费等)。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十三、合同的解除：</w:t>
      </w:r>
    </w:p>
    <w:p>
      <w:pPr>
        <w:pStyle w:val="2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  <w:bookmarkStart w:id="43" w:name="_Toc331685783"/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单位地址：安徽省安庆市天柱山东路87号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bookmarkEnd w:id="43"/>
    </w:tbl>
    <w:p>
      <w:pPr>
        <w:pStyle w:val="75"/>
        <w:rPr>
          <w:rFonts w:hint="eastAsia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4" w:name="_Toc128984809"/>
      <w:bookmarkStart w:id="45" w:name="_Toc25006"/>
      <w:bookmarkStart w:id="46" w:name="_Toc128058647"/>
      <w:bookmarkStart w:id="47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4"/>
      <w:bookmarkEnd w:id="45"/>
      <w:bookmarkEnd w:id="46"/>
      <w:bookmarkEnd w:id="47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8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8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9" w:name="_Toc12161"/>
      <w:bookmarkStart w:id="50" w:name="_Toc128984810"/>
      <w:bookmarkStart w:id="51" w:name="_Toc7098"/>
      <w:bookmarkStart w:id="52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9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0"/>
      <w:bookmarkEnd w:id="51"/>
      <w:bookmarkEnd w:id="52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3" w:name="_Toc14554"/>
      <w:bookmarkStart w:id="54" w:name="_Toc2920"/>
      <w:bookmarkStart w:id="55" w:name="_Toc128984812"/>
      <w:bookmarkStart w:id="56" w:name="_Toc54939205"/>
      <w:bookmarkStart w:id="57" w:name="_Toc8668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3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4"/>
      <w:bookmarkEnd w:id="55"/>
      <w:bookmarkEnd w:id="56"/>
      <w:bookmarkEnd w:id="57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8" w:name="_Toc13353"/>
    </w:p>
    <w:bookmarkEnd w:id="58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9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9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0" w:name="_Toc32763"/>
      <w:r>
        <w:rPr>
          <w:rFonts w:hint="eastAsia"/>
          <w:sz w:val="32"/>
          <w:szCs w:val="32"/>
        </w:rPr>
        <w:t>附件</w:t>
      </w:r>
      <w:bookmarkEnd w:id="60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E1CBF"/>
    <w:multiLevelType w:val="singleLevel"/>
    <w:tmpl w:val="AE3E1C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7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9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3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4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5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6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7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8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9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1">
    <w:nsid w:val="011E4D3F"/>
    <w:multiLevelType w:val="singleLevel"/>
    <w:tmpl w:val="011E4D3F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3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10"/>
  </w:num>
  <w:num w:numId="15">
    <w:abstractNumId w:val="16"/>
  </w:num>
  <w:num w:numId="16">
    <w:abstractNumId w:val="5"/>
  </w:num>
  <w:num w:numId="17">
    <w:abstractNumId w:val="19"/>
  </w:num>
  <w:num w:numId="18">
    <w:abstractNumId w:val="8"/>
  </w:num>
  <w:num w:numId="19">
    <w:abstractNumId w:val="23"/>
  </w:num>
  <w:num w:numId="20">
    <w:abstractNumId w:val="20"/>
  </w:num>
  <w:num w:numId="21">
    <w:abstractNumId w:val="6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MDFmMTRiY2JmYzJkN2JkNGQxNjFmYjk3NDQ4NDA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23629C1"/>
    <w:rsid w:val="0310257F"/>
    <w:rsid w:val="043E6FFD"/>
    <w:rsid w:val="056D649C"/>
    <w:rsid w:val="0777317C"/>
    <w:rsid w:val="0781151E"/>
    <w:rsid w:val="07AB20F7"/>
    <w:rsid w:val="07D23B28"/>
    <w:rsid w:val="09A7170E"/>
    <w:rsid w:val="0A295F8E"/>
    <w:rsid w:val="0BE066B8"/>
    <w:rsid w:val="0CB37078"/>
    <w:rsid w:val="0D213FC4"/>
    <w:rsid w:val="0D304E87"/>
    <w:rsid w:val="0D584D4E"/>
    <w:rsid w:val="0E891C2A"/>
    <w:rsid w:val="0E950C9D"/>
    <w:rsid w:val="0E9F5702"/>
    <w:rsid w:val="0FD81B18"/>
    <w:rsid w:val="10D0572A"/>
    <w:rsid w:val="12836356"/>
    <w:rsid w:val="12906DE8"/>
    <w:rsid w:val="143502B4"/>
    <w:rsid w:val="15730819"/>
    <w:rsid w:val="15F24541"/>
    <w:rsid w:val="1673643E"/>
    <w:rsid w:val="16C60966"/>
    <w:rsid w:val="16E868C7"/>
    <w:rsid w:val="17DB4062"/>
    <w:rsid w:val="189B3BAA"/>
    <w:rsid w:val="18BA6619"/>
    <w:rsid w:val="1AD677F0"/>
    <w:rsid w:val="1B7C4F70"/>
    <w:rsid w:val="1BA55CE8"/>
    <w:rsid w:val="1C2A0F8C"/>
    <w:rsid w:val="1C3E199A"/>
    <w:rsid w:val="1D412E8A"/>
    <w:rsid w:val="1DA02F18"/>
    <w:rsid w:val="200425B9"/>
    <w:rsid w:val="23602283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861DC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EEB78D1"/>
    <w:rsid w:val="3F224D48"/>
    <w:rsid w:val="3F393822"/>
    <w:rsid w:val="3FD054C6"/>
    <w:rsid w:val="40773958"/>
    <w:rsid w:val="40EB140D"/>
    <w:rsid w:val="41842FCE"/>
    <w:rsid w:val="42311DB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083D2A"/>
    <w:rsid w:val="4D2D7D2E"/>
    <w:rsid w:val="4D416FA2"/>
    <w:rsid w:val="4D7B5A28"/>
    <w:rsid w:val="50724B2D"/>
    <w:rsid w:val="50741036"/>
    <w:rsid w:val="50C8204A"/>
    <w:rsid w:val="519846FD"/>
    <w:rsid w:val="526A177C"/>
    <w:rsid w:val="527A2EF2"/>
    <w:rsid w:val="540E23A9"/>
    <w:rsid w:val="545A251E"/>
    <w:rsid w:val="56AD7719"/>
    <w:rsid w:val="571D5670"/>
    <w:rsid w:val="57BB3785"/>
    <w:rsid w:val="57F0156E"/>
    <w:rsid w:val="58603B5D"/>
    <w:rsid w:val="5A4B3BBE"/>
    <w:rsid w:val="5ABF3185"/>
    <w:rsid w:val="5B583684"/>
    <w:rsid w:val="5D144A17"/>
    <w:rsid w:val="5D5460E9"/>
    <w:rsid w:val="5DAD3BA5"/>
    <w:rsid w:val="5DE667DE"/>
    <w:rsid w:val="5DE8719B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4B43FA7"/>
    <w:rsid w:val="65B41A47"/>
    <w:rsid w:val="664B2332"/>
    <w:rsid w:val="66D659BE"/>
    <w:rsid w:val="694357F2"/>
    <w:rsid w:val="69536BEA"/>
    <w:rsid w:val="6A1F429D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2E43D9F"/>
    <w:rsid w:val="72EA2869"/>
    <w:rsid w:val="72F802FE"/>
    <w:rsid w:val="736401D7"/>
    <w:rsid w:val="7415674C"/>
    <w:rsid w:val="74725D4A"/>
    <w:rsid w:val="756B2E26"/>
    <w:rsid w:val="764D21DB"/>
    <w:rsid w:val="76522D10"/>
    <w:rsid w:val="768C0607"/>
    <w:rsid w:val="77B222A3"/>
    <w:rsid w:val="786C16CD"/>
    <w:rsid w:val="79325D6C"/>
    <w:rsid w:val="7A282B7D"/>
    <w:rsid w:val="7ADE1912"/>
    <w:rsid w:val="7AED39BC"/>
    <w:rsid w:val="7B271CB8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2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21</Pages>
  <Words>5495</Words>
  <Characters>5767</Characters>
  <Lines>44</Lines>
  <Paragraphs>12</Paragraphs>
  <TotalTime>0</TotalTime>
  <ScaleCrop>false</ScaleCrop>
  <LinksUpToDate>false</LinksUpToDate>
  <CharactersWithSpaces>6994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莣夏</cp:lastModifiedBy>
  <cp:lastPrinted>2023-04-18T06:32:00Z</cp:lastPrinted>
  <dcterms:modified xsi:type="dcterms:W3CDTF">2023-05-04T01:01:55Z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C9461DB597514928B7586B6A74D09693_13</vt:lpwstr>
  </property>
</Properties>
</file>