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after="100" w:line="240" w:lineRule="auto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</w:pPr>
      <w:bookmarkStart w:id="0" w:name="_Toc26952"/>
      <w:bookmarkStart w:id="1" w:name="_Toc4481598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  <w:t>服务需求</w:t>
      </w:r>
      <w:bookmarkEnd w:id="0"/>
      <w:bookmarkEnd w:id="1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  <w:t>及参数要求</w:t>
      </w:r>
    </w:p>
    <w:p>
      <w:pPr>
        <w:spacing w:before="48" w:beforeLines="20" w:after="48" w:afterLines="20" w:line="360" w:lineRule="auto"/>
        <w:rPr>
          <w:rFonts w:hint="eastAsia" w:ascii="Calibri" w:hAnsi="Calibri"/>
          <w:b/>
          <w:sz w:val="36"/>
          <w:szCs w:val="36"/>
        </w:rPr>
      </w:pPr>
    </w:p>
    <w:p>
      <w:pPr>
        <w:spacing w:before="48" w:beforeLines="20" w:after="48" w:afterLines="20" w:line="360" w:lineRule="auto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外文期刊</w:t>
      </w:r>
    </w:p>
    <w:p>
      <w:pPr>
        <w:spacing w:before="48" w:beforeLines="20" w:after="48" w:afterLines="20" w:line="360" w:lineRule="auto"/>
        <w:ind w:firstLine="880" w:firstLineChars="275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收录学科（专业领域）不少于120个，应收录全球 20000 余种生物医学和临床医学期刊，其中医学类核心期刊总数不少于10000种，需要包含如 Nature、 Science、Cell、NEJM、Lancet、JAMA、BMJ 等著名期刊，以及全球知名的 Elsevier、Springer、Wiley、 Ovid 等出版社的核心医学资源；数据库可检索到最新的电子优先（Epub ahead of print）文献，也可检索到上世纪六十年代以来的文献，文献量不少于2000万篇；检索结果与PubMed同步，更新频次为日更新。</w:t>
      </w:r>
    </w:p>
    <w:p>
      <w:pPr>
        <w:spacing w:before="48" w:beforeLines="20" w:after="48" w:afterLines="20" w:line="360" w:lineRule="auto"/>
        <w:ind w:firstLine="420"/>
        <w:rPr>
          <w:rFonts w:ascii="宋体" w:hAnsi="宋体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①</w:t>
      </w:r>
      <w:r>
        <w:rPr>
          <w:rFonts w:hint="eastAsia" w:ascii="宋体" w:hAnsi="宋体"/>
          <w:sz w:val="32"/>
          <w:szCs w:val="32"/>
        </w:rPr>
        <w:t>系统平台需要提供丰富的检索模式，并能在检索结果中揭示与临床相关的循证医学文献，并能方便的查看系统综述、荟萃分析、随机对照试验等文献；</w:t>
      </w:r>
    </w:p>
    <w:p>
      <w:pPr>
        <w:spacing w:before="48" w:beforeLines="20" w:after="48" w:afterLines="20" w:line="360" w:lineRule="auto"/>
        <w:ind w:firstLine="420"/>
        <w:rPr>
          <w:rFonts w:ascii="宋体" w:hAnsi="宋体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②</w:t>
      </w:r>
      <w:r>
        <w:rPr>
          <w:rFonts w:hint="eastAsia" w:ascii="宋体" w:hAnsi="宋体"/>
          <w:sz w:val="32"/>
          <w:szCs w:val="32"/>
        </w:rPr>
        <w:t>系统应提供数据分析功能，可以从研究方向，出版年，文献类型，资金资助机构，作者，来源出版物，语种，机构八大种类的结果进行分析。数据展示格式可以选择树状图或柱状图格式，检索结果可以选择展示的数量；分析精度也可以选择高或低；分析结果支持导出功能。数据分析功能还包括citescore 高IF论文分析、高TC论文分析等。</w:t>
      </w:r>
    </w:p>
    <w:p>
      <w:pPr>
        <w:spacing w:before="48" w:beforeLines="20" w:after="48" w:afterLines="20" w:line="360" w:lineRule="auto"/>
        <w:ind w:firstLine="42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③系统平台应提供多方位的过滤分析功能，包括影响因子（citescore）过滤、文献被引用次数（TC）过滤及分区过滤等；并可以在检索结果界面查看部分文献的参考文献和被引文献列表；</w:t>
      </w:r>
    </w:p>
    <w:p>
      <w:pPr>
        <w:spacing w:before="48" w:beforeLines="20" w:after="48" w:afterLines="20" w:line="360" w:lineRule="auto"/>
        <w:ind w:firstLine="42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④系统需要提供知识图谱功能，可以对各个学术领域，根据文献内在主题词的增长或下降比例，结合文献的权重得出该领域的发展趋势，了解世界各国主流科学家的研究方向，并以图形化的方式将结果呈现给用户；</w:t>
      </w:r>
    </w:p>
    <w:p>
      <w:pPr>
        <w:spacing w:before="48" w:beforeLines="20" w:after="48" w:afterLines="20" w:line="360" w:lineRule="auto"/>
        <w:ind w:firstLine="42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⑤检索结果可以提供散点图和气泡图两种形式的图形化显示。在一个页面可以显示上千条的检索结果记录，并可以根据检索结果记录的特有属性，包括文献的出版时间、期刊的影响因子等，将不同的文献归类到不同的坐标位置，便于用户区分和使用；</w:t>
      </w:r>
    </w:p>
    <w:p>
      <w:pPr>
        <w:spacing w:before="48" w:beforeLines="20" w:after="48" w:afterLines="20" w:line="360" w:lineRule="auto"/>
        <w:ind w:firstLine="42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⑥可以获取95%以上PubMed的全文。</w:t>
      </w:r>
    </w:p>
    <w:p>
      <w:pPr>
        <w:spacing w:before="48" w:beforeLines="20" w:after="48" w:afterLines="20" w:line="360" w:lineRule="auto"/>
        <w:ind w:firstLine="420"/>
        <w:rPr>
          <w:rFonts w:hint="eastAsia"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⑦系统需提供文献管理功能。检索出的文献记录支持多种格式的导出，可以直接在endnote管理软件中导入；申请到的文献无需通过邮箱传递，可直接在个人中心进行高效管理。支持建立多个文件夹进行文献分类，支持文献删除、备注等功能。</w:t>
      </w:r>
    </w:p>
    <w:p>
      <w:pPr>
        <w:pStyle w:val="2"/>
      </w:pPr>
    </w:p>
    <w:p>
      <w:pPr>
        <w:spacing w:before="120" w:beforeLines="50" w:after="120" w:afterLines="50"/>
        <w:rPr>
          <w:rFonts w:ascii="Calibri" w:hAnsi="Calibri"/>
          <w:b/>
          <w:color w:val="000000"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维保需求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免费维护期要求：为期三年，自本项目验收通过之日起计算</w:t>
      </w:r>
      <w:bookmarkStart w:id="2" w:name="_GoBack"/>
      <w:bookmarkEnd w:id="2"/>
      <w:r>
        <w:rPr>
          <w:rFonts w:hint="eastAsia" w:ascii="Calibri" w:hAnsi="Calibri"/>
          <w:sz w:val="32"/>
          <w:szCs w:val="32"/>
        </w:rPr>
        <w:t>。成交方需提供免费维护服务。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WM1M2UyNWY2M2JmNDQ2ODMxMzYwYTk5YTAxY2EifQ=="/>
  </w:docVars>
  <w:rsids>
    <w:rsidRoot w:val="5F460B86"/>
    <w:rsid w:val="1B2C0FF0"/>
    <w:rsid w:val="30594AD8"/>
    <w:rsid w:val="31C923FC"/>
    <w:rsid w:val="4C4E155F"/>
    <w:rsid w:val="5F460B86"/>
    <w:rsid w:val="66481148"/>
    <w:rsid w:val="777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 w:cs="宋体"/>
      <w:b/>
      <w:kern w:val="0"/>
      <w:sz w:val="28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="宋体"/>
      <w:b/>
      <w:kern w:val="0"/>
      <w:sz w:val="2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945</Characters>
  <Lines>0</Lines>
  <Paragraphs>0</Paragraphs>
  <TotalTime>1</TotalTime>
  <ScaleCrop>false</ScaleCrop>
  <LinksUpToDate>false</LinksUpToDate>
  <CharactersWithSpaces>957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2022-12-06T05:05:00Z</dcterms:created>
  <dc:creator>Steins</dc:creator>
  <cp:lastModifiedBy>l</cp:lastModifiedBy>
  <dcterms:modified xsi:type="dcterms:W3CDTF">2022-12-06T08:29:22Z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EF90AE8FEBF74480A0F6143A50B9C9BC</vt:lpwstr>
  </property>
</Properties>
</file>