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</w:t>
      </w:r>
      <w:r>
        <w:rPr>
          <w:rFonts w:hint="eastAsia" w:ascii="宋体" w:hAnsi="宋体" w:cs="宋体"/>
          <w:szCs w:val="21"/>
          <w:lang w:val="zh-CN" w:eastAsia="zh-CN"/>
        </w:rPr>
        <w:t>高效碱性清洗剂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660"/>
        <w:gridCol w:w="350"/>
        <w:gridCol w:w="820"/>
        <w:gridCol w:w="900"/>
        <w:gridCol w:w="738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4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总预算（万元）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  <w:jc w:val="center"/>
        </w:trPr>
        <w:tc>
          <w:tcPr>
            <w:tcW w:w="448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 w:eastAsia="zh-CN"/>
              </w:rPr>
              <w:t>高效碱性清洗剂（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供应室用</w:t>
            </w:r>
            <w:r>
              <w:rPr>
                <w:rFonts w:hint="eastAsia" w:ascii="宋体" w:hAnsi="宋体" w:eastAsia="宋体" w:cs="宋体"/>
                <w:szCs w:val="21"/>
                <w:lang w:val="zh-CN" w:eastAsia="zh-CN"/>
              </w:rPr>
              <w:t>）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1L水所需酶液的成本不得高于0.34元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600000L水所需酶液的总量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适用范围：手术器械、牙科器械、麻醉物品、软式内镜、灭菌盒等医疗器械，低泡配方适用手工、机械清洗。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1.需有相关体系认证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2.产品健康安全确保使用人员安全，无毒性、刺激性等化学物品危害相关标识。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3.能够很好的去除生物膜、软毒体 并提供相关国外机构认证。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.成分：弱碱、医用多酶、表面活性剂，无颜色添加成分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.需提供三家三甲医院业绩证明或市级医保集采相关证明(发票或合同，发票开票日期需为202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年1月-202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年5月，合同需为近三年签订)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20.4</w:t>
            </w:r>
          </w:p>
        </w:tc>
      </w:tr>
    </w:tbl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3B5743D4"/>
    <w:rsid w:val="3B5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2022-08-25T06:31:00Z</dcterms:created>
  <dc:creator>gyb1</dc:creator>
  <cp:lastModifiedBy>gyb1</cp:lastModifiedBy>
  <dcterms:modified xsi:type="dcterms:W3CDTF">2022-08-25T06:32:31Z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09235AB150474A4091625D542D2BF946</vt:lpwstr>
  </property>
</Properties>
</file>