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0" w:firstLineChars="10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尿碘检测需求表</w:t>
      </w:r>
    </w:p>
    <w:tbl>
      <w:tblPr>
        <w:tblStyle w:val="3"/>
        <w:tblW w:w="10440" w:type="dxa"/>
        <w:tblInd w:w="-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44"/>
        <w:gridCol w:w="4418"/>
        <w:gridCol w:w="862"/>
        <w:gridCol w:w="567"/>
        <w:gridCol w:w="1200"/>
        <w:gridCol w:w="1069"/>
        <w:gridCol w:w="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bookmarkStart w:id="0" w:name="_GoBack" w:colFirst="0" w:colLast="6"/>
            <w:r>
              <w:rPr>
                <w:rFonts w:hint="eastAsia" w:ascii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招标技术参数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使用量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最高限价（单价</w:t>
            </w:r>
            <w:r>
              <w:rPr>
                <w:rFonts w:hint="eastAsia" w:cs="Calibri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微量元素检测仪</w:t>
            </w:r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firstLine="180" w:firstLineChars="10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1.1、产品用途：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本产品主要用于定量检测人尿液中的碘含量。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firstLine="180" w:firstLineChars="10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1.2、检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测方法：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溶出伏安法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firstLine="180" w:firstLineChars="10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1.3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检验原理：利用用碘离子的氧化还原性，先施加正电位将碘离子氧化捕获到传感器表面，然后施加负电位将捕获的碘分子还原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测量还原产生的峰电流的大小来测定碘离子的含量。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firstLine="180" w:firstLineChars="10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1.4、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最低检测限：＜5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μg/L，检测灵敏度≤1μg/L。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firstLine="180" w:firstLineChars="10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1.5、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准确性：偏倚 Bias%≤10%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线性：相关系数 r≥0.95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firstLine="180" w:firstLineChars="10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1.6、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精密度：变异系数＜10%。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firstLine="180" w:firstLineChars="10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1.7、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测试速度每小时不少于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样本。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firstLine="180" w:firstLineChars="10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1.8、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测试片或试剂每人份单独报价，作为评标重要依据。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1.9、设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备对环境无特殊要求，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具备开机自检功能，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可在开放环境操作。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firstLine="180" w:firstLineChars="1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1.10、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电源：A.C.220V±22V ；50HZ±1HZ；输入功率：整机电源功率≤10VA；显示方式：液晶屏显示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before="53" w:line="309" w:lineRule="exact"/>
              <w:jc w:val="left"/>
              <w:rPr>
                <w:rFonts w:ascii="ELKQAA+Songti SC Regular" w:hAnsi="ELKQAA+Songti SC Regular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2000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/>
              </w:rPr>
              <w:t>2000.00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样本释放剂</w:t>
            </w:r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2.1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试剂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保存条件：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常温储运保存，有效期≥12个月</w:t>
            </w:r>
          </w:p>
          <w:p>
            <w:pPr>
              <w:ind w:left="200" w:hanging="180" w:hangingChars="100"/>
              <w:jc w:val="left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2.2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每人份试剂标配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1.1倍16*100孔径带盖尿试管</w:t>
            </w:r>
          </w:p>
          <w:p>
            <w:pPr>
              <w:jc w:val="left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2.3规格：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人份/盒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型号：SR-I-100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2.4 检测方法：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溶出伏安法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2.5主要组成部分：聚化铝氯、活性炭、十六烷基溴化钠。</w:t>
            </w: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人份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/>
              </w:rPr>
              <w:t>30.00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/>
              </w:rPr>
              <w:t>90000.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国产</w:t>
            </w:r>
          </w:p>
        </w:tc>
      </w:tr>
      <w:bookmarkEnd w:id="0"/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ELKQAA+Songti SC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NTY5MmJkZGY3OGU1YTg1YjY0YTQzYmEyM2FmNjEifQ=="/>
  </w:docVars>
  <w:rsids>
    <w:rsidRoot w:val="00A24620"/>
    <w:rsid w:val="001315D9"/>
    <w:rsid w:val="00A24620"/>
    <w:rsid w:val="00EF061E"/>
    <w:rsid w:val="077E6921"/>
    <w:rsid w:val="143E7D77"/>
    <w:rsid w:val="1B8E2447"/>
    <w:rsid w:val="221B7681"/>
    <w:rsid w:val="24A8762F"/>
    <w:rsid w:val="27001BFC"/>
    <w:rsid w:val="282F5860"/>
    <w:rsid w:val="28542A82"/>
    <w:rsid w:val="3C725396"/>
    <w:rsid w:val="428A2331"/>
    <w:rsid w:val="4EFB083B"/>
    <w:rsid w:val="5C6706CD"/>
    <w:rsid w:val="793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580</Characters>
  <Lines>4</Lines>
  <Paragraphs>1</Paragraphs>
  <TotalTime>2</TotalTime>
  <ScaleCrop>false</ScaleCrop>
  <LinksUpToDate>false</LinksUpToDate>
  <CharactersWithSpaces>638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2022-03-02T06:37:00Z</dcterms:created>
  <dc:creator>xb21cn</dc:creator>
  <cp:lastModifiedBy>Administrator</cp:lastModifiedBy>
  <dcterms:modified xsi:type="dcterms:W3CDTF">2022-08-13T09:29:23Z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D1DCF7E1339F42DDA226834A29113FF1</vt:lpwstr>
  </property>
</Properties>
</file>