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900"/>
        <w:gridCol w:w="855"/>
        <w:gridCol w:w="1710"/>
        <w:gridCol w:w="1275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升量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lang w:eastAsia="zh-CN"/>
              </w:rPr>
              <w:t>预计三年用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量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单价限价（元）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混合气（含运费及安装费）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40升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罐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32400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可与耶格牌masterscreen肺功能仪配套使用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一、参数要求：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一氧化碳：浓度0.3%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甲烷：浓度0.3%</w:t>
            </w:r>
          </w:p>
          <w:p>
            <w:pPr>
              <w:widowControl/>
              <w:ind w:left="105" w:leftChars="50" w:firstLine="735" w:firstLineChars="3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3、乙炔：浓度0.3%</w:t>
            </w:r>
          </w:p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4、氧气：浓度21%</w:t>
            </w:r>
          </w:p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5、剩余为氮气</w:t>
            </w:r>
          </w:p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6、负责供货期内的安装、维保、计量校验等</w:t>
            </w:r>
          </w:p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二、资质要求：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如所投公司为气体生产厂家，须要有《营业执照》、《安全生产许可证》和《危化品经营许可证》且经营许可范围须包含上述五种气体。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所投公司为经销商，须要有《营业执照》和《危化品经营许可证》且经营范围须包含上述五种气体。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投公司须要有交通主管部门颁发的《道路运输经营许可证》或《道路危险货物运输许可证》（经营范围须包含危险货物运输）若中选人不具备资质，可委托具有相应资质的单位负责运输，并提供运输单位的《营业执照》、《道路运输经营许可证》或《道路危险货物运输许可证》（经营范围须包含危险货物运输），以及委托运输协议或运输合同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承担货物运输及安装调试运行过程中的安全事故责任</w:t>
            </w:r>
          </w:p>
          <w:p>
            <w:pPr>
              <w:widowControl/>
              <w:ind w:left="1980"/>
              <w:jc w:val="left"/>
              <w:rPr>
                <w:rFonts w:hint="eastAsia"/>
              </w:rPr>
            </w:pPr>
          </w:p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/>
          <w:sz w:val="24"/>
        </w:rPr>
      </w:pP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备注：1、以上参数为必须满足的参数，不满足视为无效投报处理。</w:t>
      </w:r>
    </w:p>
    <w:p>
      <w:pPr>
        <w:pStyle w:val="3"/>
        <w:spacing w:line="500" w:lineRule="exact"/>
        <w:ind w:firstLine="720" w:firstLineChars="3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2、为杜绝采购过程中一切不正当竞争行为，所有中选供应商必须保证正常供货，满足院方需求。如不能正常供货者，将列入黑名单，半年内将不能参与我院所有设备的采购项目。</w:t>
      </w:r>
    </w:p>
    <w:p>
      <w:pPr>
        <w:spacing w:line="360" w:lineRule="auto"/>
        <w:rPr>
          <w:sz w:val="24"/>
        </w:rPr>
      </w:pPr>
    </w:p>
    <w:p>
      <w:pPr>
        <w:pStyle w:val="3"/>
        <w:spacing w:line="500" w:lineRule="exac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3267E"/>
    <w:multiLevelType w:val="multilevel"/>
    <w:tmpl w:val="1F23267E"/>
    <w:lvl w:ilvl="0" w:tentative="0">
      <w:start w:val="1"/>
      <w:numFmt w:val="decimal"/>
      <w:lvlText w:val="%1、"/>
      <w:lvlJc w:val="left"/>
      <w:pPr>
        <w:ind w:left="1980" w:hanging="11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96B692E"/>
    <w:multiLevelType w:val="multilevel"/>
    <w:tmpl w:val="696B692E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3F27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289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67FBD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3910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25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475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8F41DE3"/>
    <w:rsid w:val="17F94081"/>
    <w:rsid w:val="289B7B89"/>
    <w:rsid w:val="3E4A29A5"/>
    <w:rsid w:val="445B1C2D"/>
    <w:rsid w:val="515572D4"/>
    <w:rsid w:val="58414937"/>
    <w:rsid w:val="62E72051"/>
    <w:rsid w:val="6B4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autoSpaceDE w:val="0"/>
      <w:autoSpaceDN w:val="0"/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link w:val="9"/>
    <w:qFormat/>
    <w:uiPriority w:val="0"/>
    <w:pPr>
      <w:widowControl w:val="0"/>
      <w:autoSpaceDE/>
      <w:autoSpaceDN/>
    </w:pPr>
    <w:rPr>
      <w:rFonts w:ascii="宋体" w:hAnsi="Courier New" w:cs="金山简魏碑"/>
      <w:kern w:val="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金山简魏碑"/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ist Paragraph1"/>
    <w:basedOn w:val="1"/>
    <w:qFormat/>
    <w:uiPriority w:val="0"/>
    <w:pPr>
      <w:widowControl w:val="0"/>
      <w:autoSpaceDE/>
      <w:autoSpaceDN/>
      <w:ind w:firstLine="420" w:firstLineChars="200"/>
    </w:pPr>
    <w:rPr>
      <w:rFonts w:hAnsi="Calibri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512</Words>
  <Characters>543</Characters>
  <Lines>15</Lines>
  <Paragraphs>4</Paragraphs>
  <TotalTime>2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2022-02-14T10:22:00Z</dcterms:created>
  <dc:creator>NTKO</dc:creator>
  <cp:lastModifiedBy>Administrator</cp:lastModifiedBy>
  <dcterms:modified xsi:type="dcterms:W3CDTF">2022-06-21T00:46:06Z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F4F1B1B69245469685DCDF9CE387F4EC</vt:lpwstr>
  </property>
</Properties>
</file>