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第四章  货物需求及技术要求</w:t>
      </w:r>
    </w:p>
    <w:p>
      <w:pPr>
        <w:tabs>
          <w:tab w:val="left" w:pos="0"/>
        </w:tabs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1、设备名称：安庆市立医院</w:t>
      </w:r>
      <w:r>
        <w:rPr>
          <w:rFonts w:hint="eastAsia" w:ascii="宋体" w:hAnsi="宋体" w:cs="宋体"/>
          <w:lang w:eastAsia="zh-CN"/>
        </w:rPr>
        <w:t>一次性无菌血液透析导管包</w:t>
      </w:r>
      <w:r>
        <w:rPr>
          <w:rFonts w:hint="eastAsia" w:ascii="宋体" w:hAnsi="宋体" w:cs="宋体"/>
        </w:rPr>
        <w:t xml:space="preserve">采购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  <w:bookmarkStart w:id="0" w:name="_GoBack"/>
      <w:bookmarkEnd w:id="0"/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tbl>
      <w:tblPr>
        <w:tblStyle w:val="3"/>
        <w:tblW w:w="10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28"/>
        <w:gridCol w:w="964"/>
        <w:gridCol w:w="332"/>
        <w:gridCol w:w="804"/>
        <w:gridCol w:w="654"/>
        <w:gridCol w:w="5165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一次性无菌血液透析导管包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黑体" w:hAnsi="黑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各规格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DC-11.5F/DC-12F）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只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szCs w:val="21"/>
                <w:lang w:val="en-US" w:eastAsia="zh-CN"/>
              </w:rPr>
              <w:t>400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黑体" w:hAnsi="黑体" w:eastAsia="黑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360</w:t>
            </w:r>
          </w:p>
        </w:tc>
        <w:tc>
          <w:tcPr>
            <w:tcW w:w="5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导管直径：11.5-12F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导管长度：15-16CM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套装应包含：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1、血液透析导管，管体由聚氨酯（PU)制成，锁定接头由聚丙烯（pp）组成，卡扣本体由聚甲醛（POM)制成，卡口内套由聚烯腈-丁二烯-苯乙烯共聚体由聚氨酯（PU)制成，接头固定夹由聚乙烯制成。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2、穿刺针，针座由聚碳酸制成，针管由奥氏体不锈钢制成。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3、导丝，由奥氏体不锈钢制成。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Style w:val="5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4、扩张器，由聚丙烯制成。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5"/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144000</w:t>
            </w:r>
          </w:p>
        </w:tc>
      </w:tr>
    </w:tbl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  <w:lang w:eastAsia="zh-CN"/>
        </w:rPr>
      </w:pPr>
    </w:p>
    <w:p>
      <w:pPr>
        <w:jc w:val="center"/>
      </w:pPr>
    </w:p>
    <w:p>
      <w:pPr>
        <w:pStyle w:val="2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2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</w:p>
    <w:p>
      <w:pPr>
        <w:pStyle w:val="6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>
      <w:pPr>
        <w:numPr>
          <w:ilvl w:val="0"/>
          <w:numId w:val="1"/>
        </w:numPr>
        <w:spacing w:line="360" w:lineRule="auto"/>
        <w:ind w:left="675" w:hanging="357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如采购产品品种属于集采平台产品，中标人必须满足两票制，并在平台配送，如因集采平台价格降低导致价格低于合同价，第一候选人应主动将所供产品价格降为平台以下价格。</w:t>
      </w:r>
    </w:p>
    <w:p>
      <w:pPr>
        <w:numPr>
          <w:ilvl w:val="0"/>
          <w:numId w:val="0"/>
        </w:numPr>
        <w:spacing w:line="360" w:lineRule="auto"/>
        <w:ind w:left="318" w:firstLine="0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318" w:firstLine="0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318" w:firstLine="0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318" w:firstLine="0"/>
        <w:rPr>
          <w:rFonts w:hint="eastAsia" w:ascii="宋体" w:hAnsi="宋体" w:cs="宋体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2111440E"/>
    <w:rsid w:val="2111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2022-05-10T07:37:00Z</dcterms:created>
  <dc:creator>gyb1</dc:creator>
  <cp:lastModifiedBy>gyb1</cp:lastModifiedBy>
  <dcterms:modified xsi:type="dcterms:W3CDTF">2022-05-10T07:38:44Z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4BE10721CEE3411ABB84733447247B0A</vt:lpwstr>
  </property>
</Properties>
</file>