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F" w:rsidRDefault="00C3790F" w:rsidP="00021C64">
      <w:pPr>
        <w:adjustRightInd w:val="0"/>
        <w:snapToGrid w:val="0"/>
        <w:jc w:val="center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 w:rsidRPr="00DA07AC">
        <w:rPr>
          <w:rFonts w:ascii="宋体" w:hint="eastAsia"/>
          <w:b/>
          <w:sz w:val="32"/>
          <w:szCs w:val="32"/>
        </w:rPr>
        <w:t>安庆市立医院</w:t>
      </w:r>
      <w:r w:rsidRPr="00021C64">
        <w:rPr>
          <w:rFonts w:ascii="宋体" w:hint="eastAsia"/>
          <w:b/>
          <w:bCs/>
          <w:sz w:val="32"/>
          <w:szCs w:val="32"/>
        </w:rPr>
        <w:t>全自动酶免分析仪</w:t>
      </w:r>
    </w:p>
    <w:p w:rsidR="00C3790F" w:rsidRPr="00C046FC" w:rsidRDefault="00C3790F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021C64">
        <w:rPr>
          <w:rFonts w:ascii="宋体"/>
          <w:b/>
          <w:bCs/>
          <w:sz w:val="32"/>
          <w:szCs w:val="32"/>
        </w:rPr>
        <w:t>NEON 150</w:t>
      </w:r>
      <w:r w:rsidRPr="00021C64">
        <w:rPr>
          <w:rFonts w:ascii="宋体" w:hint="eastAsia"/>
          <w:b/>
          <w:bCs/>
          <w:sz w:val="32"/>
          <w:szCs w:val="32"/>
        </w:rPr>
        <w:t>（前处理）</w:t>
      </w:r>
      <w:r w:rsidRPr="009C7371">
        <w:rPr>
          <w:rFonts w:ascii="宋体" w:hint="eastAsia"/>
          <w:b/>
          <w:sz w:val="32"/>
          <w:szCs w:val="32"/>
        </w:rPr>
        <w:t>设备维保服务</w:t>
      </w:r>
      <w:r w:rsidRPr="00DA07AC">
        <w:rPr>
          <w:rFonts w:ascii="宋体" w:hint="eastAsia"/>
          <w:b/>
          <w:sz w:val="32"/>
          <w:szCs w:val="32"/>
        </w:rPr>
        <w:t>技术参数及要求</w:t>
      </w:r>
    </w:p>
    <w:tbl>
      <w:tblPr>
        <w:tblW w:w="7873" w:type="dxa"/>
        <w:jc w:val="center"/>
        <w:tblInd w:w="1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9"/>
        <w:gridCol w:w="1858"/>
        <w:gridCol w:w="5376"/>
      </w:tblGrid>
      <w:tr w:rsidR="00C3790F" w:rsidRPr="00133F07" w:rsidTr="00133F07">
        <w:trPr>
          <w:trHeight w:val="504"/>
          <w:jc w:val="center"/>
        </w:trPr>
        <w:tc>
          <w:tcPr>
            <w:tcW w:w="639" w:type="dxa"/>
            <w:tcBorders>
              <w:top w:val="double" w:sz="4" w:space="0" w:color="auto"/>
            </w:tcBorders>
            <w:vAlign w:val="center"/>
          </w:tcPr>
          <w:p w:rsidR="00C3790F" w:rsidRPr="00133F07" w:rsidRDefault="00C3790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33F07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58" w:type="dxa"/>
            <w:tcBorders>
              <w:top w:val="double" w:sz="4" w:space="0" w:color="auto"/>
            </w:tcBorders>
            <w:vAlign w:val="center"/>
          </w:tcPr>
          <w:p w:rsidR="00C3790F" w:rsidRPr="00133F07" w:rsidRDefault="00C3790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谈判文件条目号</w:t>
            </w:r>
          </w:p>
        </w:tc>
        <w:tc>
          <w:tcPr>
            <w:tcW w:w="5376" w:type="dxa"/>
            <w:tcBorders>
              <w:top w:val="double" w:sz="4" w:space="0" w:color="auto"/>
            </w:tcBorders>
            <w:vAlign w:val="center"/>
          </w:tcPr>
          <w:p w:rsidR="00C3790F" w:rsidRPr="00133F07" w:rsidRDefault="00C3790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采购规格</w:t>
            </w:r>
            <w:r w:rsidRPr="00133F07">
              <w:rPr>
                <w:rFonts w:ascii="宋体" w:hAnsi="宋体"/>
                <w:sz w:val="24"/>
                <w:szCs w:val="24"/>
              </w:rPr>
              <w:t>/</w:t>
            </w:r>
            <w:r w:rsidRPr="00133F07">
              <w:rPr>
                <w:rFonts w:ascii="宋体" w:hAnsi="宋体" w:hint="eastAsia"/>
                <w:sz w:val="24"/>
                <w:szCs w:val="24"/>
              </w:rPr>
              <w:t>商务条款</w:t>
            </w:r>
          </w:p>
        </w:tc>
      </w:tr>
      <w:tr w:rsidR="00C3790F" w:rsidRPr="006E0C53" w:rsidTr="00F03EF9">
        <w:trPr>
          <w:trHeight w:val="518"/>
          <w:jc w:val="center"/>
        </w:trPr>
        <w:tc>
          <w:tcPr>
            <w:tcW w:w="639" w:type="dxa"/>
            <w:vAlign w:val="center"/>
          </w:tcPr>
          <w:p w:rsidR="00C3790F" w:rsidRPr="00FF11B2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 w:rsidR="00C3790F" w:rsidRPr="00FF11B2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5376" w:type="dxa"/>
            <w:vAlign w:val="center"/>
          </w:tcPr>
          <w:p w:rsidR="00C3790F" w:rsidRPr="00357E39" w:rsidRDefault="00C3790F" w:rsidP="00B26C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57E39">
              <w:rPr>
                <w:rFonts w:ascii="宋体" w:hAnsi="宋体" w:cs="宋体" w:hint="eastAsia"/>
                <w:kern w:val="0"/>
                <w:sz w:val="24"/>
              </w:rPr>
              <w:t>全自动酶免分析仪</w:t>
            </w:r>
            <w:r>
              <w:rPr>
                <w:rFonts w:ascii="宋体" w:hAnsi="宋体" w:cs="宋体"/>
                <w:kern w:val="0"/>
                <w:sz w:val="24"/>
              </w:rPr>
              <w:t>NEON 150</w:t>
            </w:r>
            <w:r>
              <w:rPr>
                <w:rFonts w:ascii="宋体" w:hAnsi="宋体" w:cs="宋体" w:hint="eastAsia"/>
                <w:kern w:val="0"/>
                <w:sz w:val="24"/>
              </w:rPr>
              <w:t>（前处理）</w:t>
            </w:r>
          </w:p>
        </w:tc>
      </w:tr>
      <w:tr w:rsidR="00C3790F" w:rsidRPr="00034A8D" w:rsidTr="00F03EF9">
        <w:trPr>
          <w:trHeight w:val="526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服务范围</w:t>
            </w:r>
          </w:p>
        </w:tc>
        <w:tc>
          <w:tcPr>
            <w:tcW w:w="5376" w:type="dxa"/>
            <w:vAlign w:val="center"/>
          </w:tcPr>
          <w:p w:rsidR="00C3790F" w:rsidRPr="00034A8D" w:rsidRDefault="00C3790F" w:rsidP="00C22843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E4F28">
              <w:rPr>
                <w:rFonts w:hint="eastAsia"/>
                <w:sz w:val="24"/>
                <w:szCs w:val="24"/>
              </w:rPr>
              <w:t>全自动酶免分析仪</w:t>
            </w:r>
            <w:r w:rsidRPr="002E4F28">
              <w:rPr>
                <w:sz w:val="24"/>
                <w:szCs w:val="24"/>
              </w:rPr>
              <w:t>NEON 150</w:t>
            </w:r>
            <w:r w:rsidRPr="002E4F28">
              <w:rPr>
                <w:rFonts w:hint="eastAsia"/>
                <w:sz w:val="24"/>
                <w:szCs w:val="24"/>
              </w:rPr>
              <w:t>（前处理）</w:t>
            </w:r>
            <w:r w:rsidRPr="00357E39">
              <w:rPr>
                <w:rFonts w:hint="eastAsia"/>
                <w:sz w:val="24"/>
                <w:szCs w:val="24"/>
              </w:rPr>
              <w:t>设备</w:t>
            </w:r>
            <w:r w:rsidRPr="00155065">
              <w:rPr>
                <w:rFonts w:hint="eastAsia"/>
                <w:sz w:val="24"/>
                <w:szCs w:val="24"/>
              </w:rPr>
              <w:t>故障维修和保养所需配件及所有的技术服务、派工、现场服务的费用。</w:t>
            </w:r>
          </w:p>
        </w:tc>
      </w:tr>
      <w:tr w:rsidR="00C3790F" w:rsidRPr="00034A8D" w:rsidTr="00FD1C41">
        <w:trPr>
          <w:trHeight w:val="526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vAlign w:val="center"/>
          </w:tcPr>
          <w:p w:rsidR="00C3790F" w:rsidRDefault="00C3790F" w:rsidP="003D14AC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191606">
              <w:rPr>
                <w:rFonts w:hint="eastAsia"/>
                <w:sz w:val="24"/>
                <w:szCs w:val="24"/>
              </w:rPr>
              <w:t>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191606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资质</w:t>
            </w:r>
          </w:p>
          <w:p w:rsidR="00C3790F" w:rsidRPr="00191606" w:rsidRDefault="00C3790F" w:rsidP="003D14AC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及业绩</w:t>
            </w:r>
          </w:p>
        </w:tc>
        <w:tc>
          <w:tcPr>
            <w:tcW w:w="5376" w:type="dxa"/>
          </w:tcPr>
          <w:p w:rsidR="00C3790F" w:rsidRDefault="00C3790F" w:rsidP="003D14AC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 w:val="24"/>
                <w:szCs w:val="24"/>
              </w:rPr>
            </w:pPr>
            <w:r w:rsidRPr="00021440">
              <w:rPr>
                <w:rFonts w:hint="eastAsia"/>
                <w:sz w:val="24"/>
                <w:szCs w:val="24"/>
              </w:rPr>
              <w:t>投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021440">
              <w:rPr>
                <w:rFonts w:hint="eastAsia"/>
                <w:sz w:val="24"/>
                <w:szCs w:val="24"/>
              </w:rPr>
              <w:t>人须具有医疗设备维修、保养、装配、调试等的企业资格（即在营业执照中有注册）</w:t>
            </w:r>
            <w:r w:rsidRPr="00021440">
              <w:rPr>
                <w:sz w:val="24"/>
                <w:szCs w:val="24"/>
              </w:rPr>
              <w:t>.</w:t>
            </w:r>
            <w:r w:rsidRPr="00021440">
              <w:rPr>
                <w:rFonts w:hint="eastAsia"/>
                <w:sz w:val="24"/>
                <w:szCs w:val="24"/>
              </w:rPr>
              <w:t>营业执照须经年检有效。</w:t>
            </w:r>
          </w:p>
          <w:p w:rsidR="00C3790F" w:rsidRDefault="00C3790F" w:rsidP="003D14AC">
            <w:pPr>
              <w:pStyle w:val="a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</w:rPr>
              <w:t>须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月至今为止，至少有为两家三甲医院提供产品服务的业绩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3790F" w:rsidRPr="00034A8D" w:rsidTr="00F03EF9">
        <w:trPr>
          <w:trHeight w:val="505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定期保养</w:t>
            </w:r>
          </w:p>
        </w:tc>
        <w:tc>
          <w:tcPr>
            <w:tcW w:w="5376" w:type="dxa"/>
            <w:vAlign w:val="center"/>
          </w:tcPr>
          <w:p w:rsidR="00C3790F" w:rsidRDefault="00C3790F" w:rsidP="00F03EF9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1A36FD">
              <w:rPr>
                <w:sz w:val="24"/>
                <w:szCs w:val="24"/>
              </w:rPr>
              <w:t>1</w:t>
            </w:r>
            <w:r w:rsidRPr="001A36FD">
              <w:rPr>
                <w:rFonts w:hint="eastAsia"/>
                <w:sz w:val="24"/>
                <w:szCs w:val="24"/>
              </w:rPr>
              <w:t>、合同期内必须提供每季度提供一次技术性保养。</w:t>
            </w:r>
            <w:r w:rsidRPr="00034A8D">
              <w:rPr>
                <w:rFonts w:hint="eastAsia"/>
                <w:sz w:val="24"/>
                <w:szCs w:val="24"/>
              </w:rPr>
              <w:t>按照设备生产厂家的标准预防性保养计划执行，具体内容包括：记录并安排保养时间、更换易损耗件，按照厂家标准对设备进行校准、检测，确认各项技术指标和性能，记录设备运行状况，</w:t>
            </w:r>
            <w:r>
              <w:rPr>
                <w:rFonts w:hint="eastAsia"/>
                <w:sz w:val="24"/>
                <w:szCs w:val="24"/>
              </w:rPr>
              <w:t>机器除尘清洁、机</w:t>
            </w:r>
            <w:r w:rsidRPr="00034A8D">
              <w:rPr>
                <w:rFonts w:hint="eastAsia"/>
                <w:sz w:val="24"/>
                <w:szCs w:val="24"/>
              </w:rPr>
              <w:t>电安全检查、质量安全检查等，并在</w:t>
            </w:r>
            <w:r>
              <w:rPr>
                <w:rFonts w:hint="eastAsia"/>
                <w:sz w:val="24"/>
                <w:szCs w:val="24"/>
              </w:rPr>
              <w:t>保养</w:t>
            </w:r>
            <w:r w:rsidRPr="00034A8D">
              <w:rPr>
                <w:rFonts w:hint="eastAsia"/>
                <w:sz w:val="24"/>
                <w:szCs w:val="24"/>
              </w:rPr>
              <w:t>结束时提供合同设备的主动维护报告及整机质量评估报告。</w:t>
            </w:r>
          </w:p>
          <w:p w:rsidR="00C3790F" w:rsidRPr="00E10E9F" w:rsidRDefault="00C3790F" w:rsidP="00F03EF9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A36FD">
              <w:rPr>
                <w:rFonts w:hint="eastAsia"/>
                <w:sz w:val="24"/>
                <w:szCs w:val="24"/>
              </w:rPr>
              <w:t>负责设备法定认可的计量校验</w:t>
            </w:r>
            <w:r w:rsidRPr="001A36FD">
              <w:rPr>
                <w:sz w:val="24"/>
                <w:szCs w:val="24"/>
              </w:rPr>
              <w:t xml:space="preserve"> 1 </w:t>
            </w:r>
            <w:r w:rsidRPr="001A36FD">
              <w:rPr>
                <w:rFonts w:hint="eastAsia"/>
                <w:sz w:val="24"/>
                <w:szCs w:val="24"/>
              </w:rPr>
              <w:t>次</w:t>
            </w:r>
            <w:r w:rsidRPr="001A36FD">
              <w:rPr>
                <w:sz w:val="24"/>
                <w:szCs w:val="24"/>
              </w:rPr>
              <w:t>/</w:t>
            </w:r>
            <w:r w:rsidRPr="001A36FD">
              <w:rPr>
                <w:rFonts w:hint="eastAsia"/>
                <w:sz w:val="24"/>
                <w:szCs w:val="24"/>
              </w:rPr>
              <w:t>年，并出具校验报告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3790F" w:rsidRPr="00034A8D" w:rsidTr="00F03EF9">
        <w:trPr>
          <w:trHeight w:val="1062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维修质量保证</w:t>
            </w:r>
          </w:p>
        </w:tc>
        <w:tc>
          <w:tcPr>
            <w:tcW w:w="5376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保证在合同服务期内设备开机率：≥</w:t>
            </w:r>
            <w:r w:rsidRPr="00034A8D">
              <w:rPr>
                <w:sz w:val="24"/>
                <w:szCs w:val="24"/>
              </w:rPr>
              <w:t>95%</w:t>
            </w:r>
            <w:r w:rsidRPr="00034A8D">
              <w:rPr>
                <w:rFonts w:hint="eastAsia"/>
                <w:sz w:val="24"/>
                <w:szCs w:val="24"/>
              </w:rPr>
              <w:t>。在合同期内因故障而需要更换的保修范围内的原厂备件。</w:t>
            </w:r>
          </w:p>
        </w:tc>
      </w:tr>
      <w:tr w:rsidR="00C3790F" w:rsidRPr="00034A8D" w:rsidTr="00F03EF9">
        <w:trPr>
          <w:trHeight w:val="1602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配件质量要求</w:t>
            </w:r>
          </w:p>
        </w:tc>
        <w:tc>
          <w:tcPr>
            <w:tcW w:w="5376" w:type="dxa"/>
            <w:vAlign w:val="center"/>
          </w:tcPr>
          <w:p w:rsidR="00C3790F" w:rsidRDefault="00C3790F" w:rsidP="00155065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34A8D">
              <w:rPr>
                <w:rFonts w:hint="eastAsia"/>
                <w:sz w:val="24"/>
                <w:szCs w:val="24"/>
              </w:rPr>
              <w:t>需要更换的损耗件及零备件必须为本项目设备型号的原厂备件，以保障设备处于最佳运行状态。</w:t>
            </w:r>
          </w:p>
          <w:p w:rsidR="00C3790F" w:rsidRPr="00034A8D" w:rsidRDefault="00C3790F" w:rsidP="00155065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816F0">
              <w:rPr>
                <w:rFonts w:hint="eastAsia"/>
                <w:sz w:val="24"/>
                <w:szCs w:val="24"/>
              </w:rPr>
              <w:t>备件的来源必须符合国家相关法律法规</w:t>
            </w:r>
          </w:p>
        </w:tc>
      </w:tr>
      <w:tr w:rsidR="00C3790F" w:rsidRPr="00034A8D" w:rsidTr="00F20761">
        <w:trPr>
          <w:trHeight w:val="2660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维修速度</w:t>
            </w:r>
          </w:p>
        </w:tc>
        <w:tc>
          <w:tcPr>
            <w:tcW w:w="5376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提供</w:t>
            </w:r>
            <w:r w:rsidRPr="00034A8D">
              <w:rPr>
                <w:sz w:val="24"/>
                <w:szCs w:val="24"/>
              </w:rPr>
              <w:t>7*24</w:t>
            </w:r>
            <w:r w:rsidRPr="00034A8D">
              <w:rPr>
                <w:rFonts w:hint="eastAsia"/>
                <w:sz w:val="24"/>
                <w:szCs w:val="24"/>
              </w:rPr>
              <w:t>小时报修及免费技术支持电话，接到故障报修电话通知后</w:t>
            </w:r>
            <w:r>
              <w:rPr>
                <w:sz w:val="24"/>
                <w:szCs w:val="24"/>
              </w:rPr>
              <w:t>4</w:t>
            </w:r>
            <w:r w:rsidRPr="00034A8D">
              <w:rPr>
                <w:rFonts w:hint="eastAsia"/>
                <w:sz w:val="24"/>
                <w:szCs w:val="24"/>
              </w:rPr>
              <w:t>小时之内响应，提供电话、网络等技术支持。如以上技术支持无法解决设备故障，须在</w:t>
            </w:r>
            <w:r>
              <w:rPr>
                <w:sz w:val="24"/>
                <w:szCs w:val="24"/>
              </w:rPr>
              <w:t>48</w:t>
            </w:r>
            <w:r w:rsidRPr="00034A8D">
              <w:rPr>
                <w:sz w:val="24"/>
                <w:szCs w:val="24"/>
              </w:rPr>
              <w:t xml:space="preserve"> </w:t>
            </w:r>
            <w:r w:rsidRPr="00034A8D">
              <w:rPr>
                <w:rFonts w:hint="eastAsia"/>
                <w:sz w:val="24"/>
                <w:szCs w:val="24"/>
              </w:rPr>
              <w:t>小时内到达设备使用现场进行维修，排除故障。</w:t>
            </w:r>
          </w:p>
        </w:tc>
      </w:tr>
      <w:tr w:rsidR="00C3790F" w:rsidRPr="00034A8D" w:rsidTr="00F03EF9">
        <w:trPr>
          <w:trHeight w:val="505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工程师配备</w:t>
            </w:r>
          </w:p>
        </w:tc>
        <w:tc>
          <w:tcPr>
            <w:tcW w:w="5376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须</w:t>
            </w:r>
            <w:r>
              <w:rPr>
                <w:rFonts w:hint="eastAsia"/>
                <w:sz w:val="24"/>
                <w:szCs w:val="24"/>
              </w:rPr>
              <w:t>具备足够的维修服务队伍，并具有三年及以上相关维修经验的</w:t>
            </w:r>
            <w:r w:rsidRPr="00034A8D">
              <w:rPr>
                <w:rFonts w:hint="eastAsia"/>
                <w:sz w:val="24"/>
                <w:szCs w:val="24"/>
              </w:rPr>
              <w:t>专业工程师。中</w:t>
            </w:r>
            <w:r>
              <w:rPr>
                <w:rFonts w:hint="eastAsia"/>
                <w:sz w:val="24"/>
                <w:szCs w:val="24"/>
              </w:rPr>
              <w:t>选</w:t>
            </w:r>
            <w:r w:rsidRPr="00034A8D">
              <w:rPr>
                <w:rFonts w:hint="eastAsia"/>
                <w:sz w:val="24"/>
                <w:szCs w:val="24"/>
              </w:rPr>
              <w:t>单位须提供工程师的资质证书和在缴纳社保的雇佣关系证明以查证。</w:t>
            </w:r>
          </w:p>
        </w:tc>
      </w:tr>
      <w:tr w:rsidR="00C3790F" w:rsidRPr="00034A8D" w:rsidTr="00304734">
        <w:trPr>
          <w:trHeight w:val="1041"/>
          <w:jc w:val="center"/>
        </w:trPr>
        <w:tc>
          <w:tcPr>
            <w:tcW w:w="639" w:type="dxa"/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服务报告</w:t>
            </w:r>
          </w:p>
        </w:tc>
        <w:tc>
          <w:tcPr>
            <w:tcW w:w="5376" w:type="dxa"/>
            <w:vAlign w:val="center"/>
          </w:tcPr>
          <w:p w:rsidR="00C3790F" w:rsidRPr="00034A8D" w:rsidRDefault="00C3790F" w:rsidP="00F03EF9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034A8D">
              <w:rPr>
                <w:rFonts w:hint="eastAsia"/>
                <w:sz w:val="24"/>
                <w:szCs w:val="24"/>
              </w:rPr>
              <w:t>每年度服务结束后应提交年度服务报告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3790F" w:rsidRPr="00034A8D" w:rsidTr="001D48B8">
        <w:trPr>
          <w:trHeight w:val="1041"/>
          <w:jc w:val="center"/>
        </w:trPr>
        <w:tc>
          <w:tcPr>
            <w:tcW w:w="639" w:type="dxa"/>
            <w:tcBorders>
              <w:bottom w:val="double" w:sz="4" w:space="0" w:color="auto"/>
            </w:tcBorders>
            <w:vAlign w:val="center"/>
          </w:tcPr>
          <w:p w:rsidR="00C3790F" w:rsidRPr="00034A8D" w:rsidRDefault="00C3790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bottom w:val="double" w:sz="4" w:space="0" w:color="auto"/>
            </w:tcBorders>
            <w:vAlign w:val="center"/>
          </w:tcPr>
          <w:p w:rsidR="00C3790F" w:rsidRPr="00191606" w:rsidRDefault="00C3790F" w:rsidP="003D14AC">
            <w:pPr>
              <w:pStyle w:val="a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19160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376" w:type="dxa"/>
            <w:tcBorders>
              <w:bottom w:val="double" w:sz="4" w:space="0" w:color="auto"/>
            </w:tcBorders>
          </w:tcPr>
          <w:p w:rsidR="00C3790F" w:rsidRPr="00191606" w:rsidRDefault="00C3790F" w:rsidP="003D14AC">
            <w:pPr>
              <w:pStyle w:val="a"/>
              <w:spacing w:line="440" w:lineRule="exact"/>
              <w:ind w:firstLineChars="0" w:firstLine="0"/>
              <w:rPr>
                <w:sz w:val="24"/>
              </w:rPr>
            </w:pPr>
            <w:r w:rsidRPr="00191606">
              <w:rPr>
                <w:rFonts w:hint="eastAsia"/>
                <w:sz w:val="24"/>
              </w:rPr>
              <w:t>如在合同执行过程中</w:t>
            </w:r>
            <w:r w:rsidRPr="00191606">
              <w:rPr>
                <w:sz w:val="24"/>
              </w:rPr>
              <w:t>,</w:t>
            </w:r>
            <w:r w:rsidRPr="00191606">
              <w:rPr>
                <w:rFonts w:hint="eastAsia"/>
                <w:sz w:val="24"/>
              </w:rPr>
              <w:t>所保修设备报废或停止使用</w:t>
            </w:r>
            <w:r w:rsidRPr="00191606">
              <w:rPr>
                <w:sz w:val="24"/>
              </w:rPr>
              <w:t>,</w:t>
            </w:r>
            <w:r w:rsidRPr="00191606">
              <w:rPr>
                <w:rFonts w:hint="eastAsia"/>
                <w:sz w:val="24"/>
              </w:rPr>
              <w:t>则相关设备的保修服务应该终止，并按时间比例</w:t>
            </w:r>
            <w:r>
              <w:rPr>
                <w:rFonts w:hint="eastAsia"/>
                <w:sz w:val="24"/>
              </w:rPr>
              <w:t>结算</w:t>
            </w:r>
            <w:r w:rsidRPr="00191606">
              <w:rPr>
                <w:rFonts w:hint="eastAsia"/>
                <w:sz w:val="24"/>
              </w:rPr>
              <w:t>费用。</w:t>
            </w:r>
          </w:p>
        </w:tc>
      </w:tr>
    </w:tbl>
    <w:p w:rsidR="00C3790F" w:rsidRPr="00B70FF1" w:rsidRDefault="00C3790F" w:rsidP="00155065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  <w:r w:rsidRPr="00B70FF1">
        <w:rPr>
          <w:rFonts w:hAnsi="宋体" w:cs="宋体" w:hint="eastAsia"/>
          <w:bCs/>
        </w:rPr>
        <w:t>注：</w:t>
      </w:r>
      <w:r>
        <w:rPr>
          <w:rFonts w:hAnsi="宋体" w:cs="宋体" w:hint="eastAsia"/>
          <w:bCs/>
        </w:rPr>
        <w:t>以上条款必须满足</w:t>
      </w:r>
      <w:r w:rsidRPr="00B70FF1">
        <w:rPr>
          <w:rFonts w:hAnsi="宋体" w:cs="宋体" w:hint="eastAsia"/>
          <w:bCs/>
        </w:rPr>
        <w:t>，否则视为无效。</w:t>
      </w:r>
    </w:p>
    <w:p w:rsidR="00C3790F" w:rsidRPr="00155065" w:rsidRDefault="00C3790F" w:rsidP="00155065">
      <w:pPr>
        <w:pStyle w:val="PlainText"/>
        <w:spacing w:line="500" w:lineRule="exact"/>
        <w:ind w:firstLineChars="294" w:firstLine="617"/>
      </w:pPr>
    </w:p>
    <w:sectPr w:rsidR="00C3790F" w:rsidRPr="00155065" w:rsidSect="00D11D1F">
      <w:footerReference w:type="default" r:id="rId7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0F" w:rsidRDefault="00C3790F" w:rsidP="00D5554B">
      <w:r>
        <w:separator/>
      </w:r>
    </w:p>
  </w:endnote>
  <w:endnote w:type="continuationSeparator" w:id="0">
    <w:p w:rsidR="00C3790F" w:rsidRDefault="00C3790F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0F" w:rsidRDefault="00C3790F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0F" w:rsidRDefault="00C3790F" w:rsidP="00D5554B">
      <w:r>
        <w:separator/>
      </w:r>
    </w:p>
  </w:footnote>
  <w:footnote w:type="continuationSeparator" w:id="0">
    <w:p w:rsidR="00C3790F" w:rsidRDefault="00C3790F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21C64"/>
    <w:rsid w:val="00034A8D"/>
    <w:rsid w:val="00094102"/>
    <w:rsid w:val="00112235"/>
    <w:rsid w:val="00133F07"/>
    <w:rsid w:val="001438FE"/>
    <w:rsid w:val="0014416C"/>
    <w:rsid w:val="00155065"/>
    <w:rsid w:val="00176AED"/>
    <w:rsid w:val="00176DF5"/>
    <w:rsid w:val="00191606"/>
    <w:rsid w:val="001A2D65"/>
    <w:rsid w:val="001A36FD"/>
    <w:rsid w:val="001C4FDD"/>
    <w:rsid w:val="001C5C4F"/>
    <w:rsid w:val="001D48B8"/>
    <w:rsid w:val="002052DA"/>
    <w:rsid w:val="00216499"/>
    <w:rsid w:val="00226E8E"/>
    <w:rsid w:val="00230829"/>
    <w:rsid w:val="002322ED"/>
    <w:rsid w:val="00237B33"/>
    <w:rsid w:val="002423AB"/>
    <w:rsid w:val="002628CB"/>
    <w:rsid w:val="00287530"/>
    <w:rsid w:val="00297A25"/>
    <w:rsid w:val="002B48BE"/>
    <w:rsid w:val="002E4F28"/>
    <w:rsid w:val="0030442E"/>
    <w:rsid w:val="00304734"/>
    <w:rsid w:val="00331A6C"/>
    <w:rsid w:val="0035769B"/>
    <w:rsid w:val="00357E39"/>
    <w:rsid w:val="003D14AC"/>
    <w:rsid w:val="003D2CE4"/>
    <w:rsid w:val="003D32F2"/>
    <w:rsid w:val="003E064F"/>
    <w:rsid w:val="003E7590"/>
    <w:rsid w:val="00427287"/>
    <w:rsid w:val="00434DC5"/>
    <w:rsid w:val="0045014F"/>
    <w:rsid w:val="0045070D"/>
    <w:rsid w:val="00474475"/>
    <w:rsid w:val="00480127"/>
    <w:rsid w:val="0049638B"/>
    <w:rsid w:val="004C3BE3"/>
    <w:rsid w:val="004D6C91"/>
    <w:rsid w:val="004F3165"/>
    <w:rsid w:val="004F641E"/>
    <w:rsid w:val="00536427"/>
    <w:rsid w:val="005464E3"/>
    <w:rsid w:val="005534DA"/>
    <w:rsid w:val="00557157"/>
    <w:rsid w:val="005678DA"/>
    <w:rsid w:val="005820E4"/>
    <w:rsid w:val="00587D0E"/>
    <w:rsid w:val="00596321"/>
    <w:rsid w:val="005B15BA"/>
    <w:rsid w:val="005D044B"/>
    <w:rsid w:val="005D1CEA"/>
    <w:rsid w:val="005D7841"/>
    <w:rsid w:val="006128BD"/>
    <w:rsid w:val="00620732"/>
    <w:rsid w:val="00620AE3"/>
    <w:rsid w:val="00621385"/>
    <w:rsid w:val="00624F6A"/>
    <w:rsid w:val="006816F0"/>
    <w:rsid w:val="006A0592"/>
    <w:rsid w:val="006A5BD4"/>
    <w:rsid w:val="006C0AAB"/>
    <w:rsid w:val="006E0C53"/>
    <w:rsid w:val="006E0F1B"/>
    <w:rsid w:val="006E306F"/>
    <w:rsid w:val="006E6C82"/>
    <w:rsid w:val="006F69A8"/>
    <w:rsid w:val="00714604"/>
    <w:rsid w:val="00714E2F"/>
    <w:rsid w:val="007252A1"/>
    <w:rsid w:val="007352F9"/>
    <w:rsid w:val="00735B02"/>
    <w:rsid w:val="00742866"/>
    <w:rsid w:val="00756CE7"/>
    <w:rsid w:val="0076191D"/>
    <w:rsid w:val="00763664"/>
    <w:rsid w:val="0077146F"/>
    <w:rsid w:val="00780673"/>
    <w:rsid w:val="00780E6D"/>
    <w:rsid w:val="007C22E7"/>
    <w:rsid w:val="00805A4C"/>
    <w:rsid w:val="00811063"/>
    <w:rsid w:val="00817E80"/>
    <w:rsid w:val="0082637F"/>
    <w:rsid w:val="0082679A"/>
    <w:rsid w:val="00826D81"/>
    <w:rsid w:val="0083064A"/>
    <w:rsid w:val="008547CA"/>
    <w:rsid w:val="00856D4D"/>
    <w:rsid w:val="008721D6"/>
    <w:rsid w:val="008A0766"/>
    <w:rsid w:val="008A2E67"/>
    <w:rsid w:val="008E71F1"/>
    <w:rsid w:val="008F72A6"/>
    <w:rsid w:val="00907737"/>
    <w:rsid w:val="00910EA4"/>
    <w:rsid w:val="0091213E"/>
    <w:rsid w:val="0092159C"/>
    <w:rsid w:val="00967ED8"/>
    <w:rsid w:val="009735B8"/>
    <w:rsid w:val="00977A20"/>
    <w:rsid w:val="00991D56"/>
    <w:rsid w:val="00997C70"/>
    <w:rsid w:val="009B6701"/>
    <w:rsid w:val="009B6DFA"/>
    <w:rsid w:val="009C5062"/>
    <w:rsid w:val="009C7371"/>
    <w:rsid w:val="009D7B7A"/>
    <w:rsid w:val="009F4C04"/>
    <w:rsid w:val="009F4DBF"/>
    <w:rsid w:val="00A3651F"/>
    <w:rsid w:val="00A3695D"/>
    <w:rsid w:val="00A45BC2"/>
    <w:rsid w:val="00A6058C"/>
    <w:rsid w:val="00A95CEA"/>
    <w:rsid w:val="00B26CAE"/>
    <w:rsid w:val="00B30722"/>
    <w:rsid w:val="00B42698"/>
    <w:rsid w:val="00B4278A"/>
    <w:rsid w:val="00B656DF"/>
    <w:rsid w:val="00B70FF1"/>
    <w:rsid w:val="00B849AF"/>
    <w:rsid w:val="00B87912"/>
    <w:rsid w:val="00B92CA4"/>
    <w:rsid w:val="00BB5E2D"/>
    <w:rsid w:val="00BC285C"/>
    <w:rsid w:val="00BC3989"/>
    <w:rsid w:val="00C046FC"/>
    <w:rsid w:val="00C04775"/>
    <w:rsid w:val="00C071EF"/>
    <w:rsid w:val="00C17E49"/>
    <w:rsid w:val="00C22843"/>
    <w:rsid w:val="00C31A66"/>
    <w:rsid w:val="00C3790F"/>
    <w:rsid w:val="00C83094"/>
    <w:rsid w:val="00C97598"/>
    <w:rsid w:val="00CB3A5A"/>
    <w:rsid w:val="00CC7149"/>
    <w:rsid w:val="00CE7190"/>
    <w:rsid w:val="00D01CDC"/>
    <w:rsid w:val="00D02FCE"/>
    <w:rsid w:val="00D04792"/>
    <w:rsid w:val="00D11D1F"/>
    <w:rsid w:val="00D13726"/>
    <w:rsid w:val="00D14FDE"/>
    <w:rsid w:val="00D5554B"/>
    <w:rsid w:val="00D55FED"/>
    <w:rsid w:val="00D841C8"/>
    <w:rsid w:val="00D85116"/>
    <w:rsid w:val="00DA07AC"/>
    <w:rsid w:val="00DB7239"/>
    <w:rsid w:val="00DD643F"/>
    <w:rsid w:val="00E108BE"/>
    <w:rsid w:val="00E10E9F"/>
    <w:rsid w:val="00E245B7"/>
    <w:rsid w:val="00E54DB5"/>
    <w:rsid w:val="00E8122F"/>
    <w:rsid w:val="00EA6472"/>
    <w:rsid w:val="00EC495E"/>
    <w:rsid w:val="00EF0885"/>
    <w:rsid w:val="00F0047B"/>
    <w:rsid w:val="00F03EF9"/>
    <w:rsid w:val="00F05671"/>
    <w:rsid w:val="00F07DFF"/>
    <w:rsid w:val="00F20761"/>
    <w:rsid w:val="00F318F4"/>
    <w:rsid w:val="00F52582"/>
    <w:rsid w:val="00FA29BD"/>
    <w:rsid w:val="00FA4D6A"/>
    <w:rsid w:val="00FB16F0"/>
    <w:rsid w:val="00FD0190"/>
    <w:rsid w:val="00FD1C41"/>
    <w:rsid w:val="00FF11B2"/>
    <w:rsid w:val="00FF14C6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155065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5065"/>
    <w:rPr>
      <w:rFonts w:ascii="宋体" w:eastAsia="宋体" w:cs="Times New Roman"/>
      <w:b/>
      <w:color w:val="000000"/>
      <w:sz w:val="24"/>
      <w:u w:color="000000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E0F1B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3989"/>
    <w:rPr>
      <w:rFonts w:ascii="宋体" w:hAnsi="Courier New" w:cs="Courier New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6E0F1B"/>
    <w:rPr>
      <w:rFonts w:ascii="宋体" w:eastAsia="宋体" w:hAnsi="Courier New"/>
      <w:kern w:val="2"/>
      <w:sz w:val="21"/>
    </w:rPr>
  </w:style>
  <w:style w:type="character" w:customStyle="1" w:styleId="CharChar1">
    <w:name w:val="Char Char1"/>
    <w:basedOn w:val="DefaultParagraphFont"/>
    <w:uiPriority w:val="99"/>
    <w:rsid w:val="00756CE7"/>
    <w:rPr>
      <w:rFonts w:cs="Times New Roman"/>
      <w:kern w:val="2"/>
      <w:sz w:val="18"/>
      <w:szCs w:val="18"/>
    </w:rPr>
  </w:style>
  <w:style w:type="paragraph" w:styleId="NormalIndent">
    <w:name w:val="Normal Indent"/>
    <w:basedOn w:val="Normal"/>
    <w:uiPriority w:val="99"/>
    <w:rsid w:val="00155065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30473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129</Words>
  <Characters>741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78</cp:revision>
  <cp:lastPrinted>2019-09-18T00:12:00Z</cp:lastPrinted>
  <dcterms:created xsi:type="dcterms:W3CDTF">2019-06-16T23:02:00Z</dcterms:created>
  <dcterms:modified xsi:type="dcterms:W3CDTF">2022-03-24T07:29:00Z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