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第十五批医用耗材采购参数</w:t>
      </w:r>
    </w:p>
    <w:tbl>
      <w:tblPr>
        <w:tblStyle w:val="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17"/>
        <w:gridCol w:w="901"/>
        <w:gridCol w:w="666"/>
        <w:gridCol w:w="648"/>
        <w:gridCol w:w="720"/>
        <w:gridCol w:w="443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16" w:type="dxa"/>
            <w:noWrap w:val="0"/>
            <w:vAlign w:val="center"/>
          </w:tcPr>
          <w:p>
            <w:pPr>
              <w:widowControl/>
              <w:jc w:val="center"/>
              <w:rPr>
                <w:rFonts w:hint="eastAsia" w:ascii="宋体" w:hAnsi="宋体" w:cs="宋体"/>
                <w:color w:val="auto"/>
                <w:sz w:val="21"/>
                <w:szCs w:val="21"/>
                <w:lang w:val="en-US" w:eastAsia="zh-CN"/>
              </w:rPr>
            </w:pPr>
            <w:r>
              <w:rPr>
                <w:rFonts w:hint="eastAsia" w:ascii="宋体" w:hAnsi="宋体" w:eastAsia="宋体" w:cs="宋体"/>
                <w:b/>
                <w:bCs/>
                <w:color w:val="auto"/>
                <w:kern w:val="0"/>
                <w:sz w:val="21"/>
                <w:szCs w:val="21"/>
              </w:rPr>
              <w:t>包号</w:t>
            </w:r>
          </w:p>
        </w:tc>
        <w:tc>
          <w:tcPr>
            <w:tcW w:w="1317"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耗材名称</w:t>
            </w:r>
          </w:p>
        </w:tc>
        <w:tc>
          <w:tcPr>
            <w:tcW w:w="901"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规格型号</w:t>
            </w:r>
          </w:p>
        </w:tc>
        <w:tc>
          <w:tcPr>
            <w:tcW w:w="666"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单位</w:t>
            </w:r>
          </w:p>
        </w:tc>
        <w:tc>
          <w:tcPr>
            <w:tcW w:w="648" w:type="dxa"/>
            <w:noWrap w:val="0"/>
            <w:vAlign w:val="center"/>
          </w:tcPr>
          <w:p>
            <w:pPr>
              <w:widowControl/>
              <w:jc w:val="center"/>
              <w:rPr>
                <w:rFonts w:hint="eastAsia" w:ascii="宋体" w:hAnsi="宋体" w:cs="宋体"/>
                <w:color w:val="auto"/>
                <w:sz w:val="21"/>
                <w:szCs w:val="21"/>
                <w:lang w:val="en-US" w:eastAsia="zh-CN"/>
              </w:rPr>
            </w:pPr>
            <w:r>
              <w:rPr>
                <w:rFonts w:hint="eastAsia" w:ascii="宋体" w:hAnsi="宋体" w:eastAsia="宋体" w:cs="宋体"/>
                <w:b/>
                <w:bCs/>
                <w:color w:val="auto"/>
                <w:kern w:val="0"/>
                <w:sz w:val="21"/>
                <w:szCs w:val="21"/>
              </w:rPr>
              <w:t>单价限价 (元)</w:t>
            </w:r>
          </w:p>
        </w:tc>
        <w:tc>
          <w:tcPr>
            <w:tcW w:w="720" w:type="dxa"/>
            <w:noWrap w:val="0"/>
            <w:vAlign w:val="center"/>
          </w:tcPr>
          <w:p>
            <w:pPr>
              <w:widowControl/>
              <w:jc w:val="center"/>
              <w:rPr>
                <w:rFonts w:hint="eastAsia" w:ascii="宋体" w:hAnsi="宋体" w:cs="宋体"/>
                <w:color w:val="auto"/>
                <w:sz w:val="21"/>
                <w:szCs w:val="21"/>
                <w:lang w:val="en-US" w:eastAsia="zh-CN"/>
              </w:rPr>
            </w:pPr>
            <w:r>
              <w:rPr>
                <w:rFonts w:hint="eastAsia" w:ascii="宋体" w:hAnsi="宋体" w:eastAsia="宋体" w:cs="宋体"/>
                <w:b/>
                <w:bCs/>
                <w:color w:val="auto"/>
                <w:kern w:val="0"/>
                <w:sz w:val="21"/>
                <w:szCs w:val="21"/>
              </w:rPr>
              <w:t>年用量</w:t>
            </w:r>
          </w:p>
        </w:tc>
        <w:tc>
          <w:tcPr>
            <w:tcW w:w="4432"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参数要求</w:t>
            </w:r>
          </w:p>
        </w:tc>
        <w:tc>
          <w:tcPr>
            <w:tcW w:w="105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rPr>
              <w:t>总限价（元）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16" w:type="dxa"/>
            <w:noWrap w:val="0"/>
            <w:vAlign w:val="center"/>
          </w:tcPr>
          <w:p>
            <w:pPr>
              <w:jc w:val="both"/>
              <w:rPr>
                <w:rFonts w:hint="default" w:ascii="宋体" w:hAnsi="宋体" w:eastAsia="宋体" w:cs="宋体"/>
                <w:color w:val="auto"/>
                <w:sz w:val="21"/>
                <w:szCs w:val="21"/>
                <w:lang w:val="en-US" w:eastAsia="zh-CN"/>
              </w:rPr>
            </w:pPr>
          </w:p>
          <w:p>
            <w:p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17"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透明质酸修护生物膜</w:t>
            </w:r>
          </w:p>
        </w:tc>
        <w:tc>
          <w:tcPr>
            <w:tcW w:w="901" w:type="dxa"/>
            <w:noWrap w:val="0"/>
            <w:vAlign w:val="center"/>
          </w:tcPr>
          <w:p>
            <w:pPr>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eastAsia="宋体" w:cs="Tahoma"/>
                <w:color w:val="auto"/>
              </w:rPr>
              <w:t>15g</w:t>
            </w:r>
          </w:p>
        </w:tc>
        <w:tc>
          <w:tcPr>
            <w:tcW w:w="666"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w:t>
            </w:r>
          </w:p>
        </w:tc>
        <w:tc>
          <w:tcPr>
            <w:tcW w:w="648" w:type="dxa"/>
            <w:noWrap w:val="0"/>
            <w:vAlign w:val="center"/>
          </w:tcPr>
          <w:p>
            <w:pPr>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68</w:t>
            </w:r>
          </w:p>
        </w:tc>
        <w:tc>
          <w:tcPr>
            <w:tcW w:w="720" w:type="dxa"/>
            <w:noWrap w:val="0"/>
            <w:vAlign w:val="center"/>
          </w:tcPr>
          <w:p>
            <w:pPr>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1200</w:t>
            </w:r>
          </w:p>
        </w:tc>
        <w:tc>
          <w:tcPr>
            <w:tcW w:w="4432" w:type="dxa"/>
            <w:noWrap w:val="0"/>
            <w:vAlign w:val="center"/>
          </w:tcPr>
          <w:p>
            <w:pPr>
              <w:adjustRightInd/>
              <w:snapToGrid/>
              <w:spacing w:after="0"/>
              <w:jc w:val="both"/>
              <w:rPr>
                <w:rFonts w:hint="eastAsia" w:ascii="宋体" w:hAnsi="宋体" w:eastAsia="宋体" w:cs="Tahoma"/>
                <w:color w:val="auto"/>
                <w:lang w:eastAsia="zh-CN"/>
              </w:rPr>
            </w:pPr>
            <w:r>
              <w:rPr>
                <w:rFonts w:hint="eastAsia" w:ascii="宋体" w:hAnsi="宋体" w:eastAsia="宋体" w:cs="Tahoma"/>
                <w:color w:val="auto"/>
                <w:lang w:eastAsia="zh-CN"/>
              </w:rPr>
              <w:t>参数要求：</w:t>
            </w:r>
          </w:p>
          <w:p>
            <w:pPr>
              <w:adjustRightInd/>
              <w:snapToGrid/>
              <w:spacing w:after="0"/>
              <w:ind w:firstLine="420"/>
              <w:jc w:val="both"/>
              <w:rPr>
                <w:rFonts w:hint="eastAsia" w:ascii="宋体" w:hAnsi="宋体" w:eastAsia="宋体" w:cs="Tahoma"/>
                <w:color w:val="auto"/>
                <w:lang w:val="en-US" w:eastAsia="zh-CN"/>
              </w:rPr>
            </w:pPr>
            <w:r>
              <w:rPr>
                <w:rFonts w:hint="eastAsia" w:ascii="宋体" w:hAnsi="宋体" w:eastAsia="宋体" w:cs="Tahoma"/>
                <w:color w:val="auto"/>
                <w:lang w:val="en-US" w:eastAsia="zh-CN"/>
              </w:rPr>
              <w:t>产品为白色或类白色乳膏状、无异物、无杂质。主要由多聚糖大分子透明质酸钠、丙烯酸（酯）类/丙烯酰胺共聚物、去离子水等组成的乳膏体。使用时可在皮肤表面形成以大分子聚合物透明质酸为主的保护膜，抵御外界细菌、致敏原的伤害，并保持微创面的湿润环境。</w:t>
            </w:r>
          </w:p>
          <w:p>
            <w:pPr>
              <w:adjustRightInd/>
              <w:snapToGrid/>
              <w:spacing w:after="0"/>
              <w:ind w:firstLine="420"/>
              <w:jc w:val="both"/>
              <w:rPr>
                <w:rFonts w:hint="eastAsia" w:ascii="宋体" w:hAnsi="宋体" w:eastAsia="宋体" w:cs="Tahoma"/>
                <w:color w:val="auto"/>
                <w:lang w:val="en-US" w:eastAsia="zh-CN"/>
              </w:rPr>
            </w:pPr>
            <w:r>
              <w:rPr>
                <w:rFonts w:hint="eastAsia" w:ascii="宋体" w:hAnsi="宋体" w:eastAsia="宋体" w:cs="Tahoma"/>
                <w:color w:val="auto"/>
                <w:lang w:val="en-US" w:eastAsia="zh-CN"/>
              </w:rPr>
              <w:t>适用于面部激光、光子嫩肤、微晶磨削、果酸活肤术等微创术后批复以及皮炎湿疹、敏感性皮肤、激素依赖性皮炎等造成屏障受损皮肤的保护与护理。</w:t>
            </w:r>
          </w:p>
          <w:p>
            <w:pPr>
              <w:adjustRightInd/>
              <w:snapToGrid/>
              <w:spacing w:after="0"/>
              <w:jc w:val="both"/>
              <w:rPr>
                <w:rFonts w:hint="eastAsia" w:ascii="宋体" w:hAnsi="宋体" w:eastAsia="宋体" w:cs="Tahoma"/>
                <w:color w:val="auto"/>
                <w:lang w:val="en-US" w:eastAsia="zh-CN"/>
              </w:rPr>
            </w:pPr>
            <w:r>
              <w:rPr>
                <w:rFonts w:hint="eastAsia" w:ascii="宋体" w:hAnsi="宋体" w:eastAsia="宋体" w:cs="Tahoma"/>
                <w:color w:val="auto"/>
                <w:lang w:val="en-US" w:eastAsia="zh-CN"/>
              </w:rPr>
              <w:t>参考图片：</w:t>
            </w:r>
          </w:p>
          <w:p>
            <w:pPr>
              <w:adjustRightInd/>
              <w:snapToGrid/>
              <w:spacing w:after="0"/>
              <w:jc w:val="both"/>
              <w:rPr>
                <w:rFonts w:hint="eastAsia" w:ascii="宋体" w:hAnsi="宋体" w:eastAsia="宋体" w:cs="Tahoma"/>
                <w:color w:val="auto"/>
                <w:lang w:val="en-US" w:eastAsia="zh-CN"/>
              </w:rPr>
            </w:pPr>
            <w:r>
              <w:rPr>
                <w:rFonts w:hint="eastAsia" w:ascii="宋体" w:hAnsi="宋体" w:eastAsia="宋体" w:cs="Tahoma"/>
                <w:color w:val="auto"/>
                <w:lang w:val="en-US" w:eastAsia="zh-CN"/>
              </w:rPr>
              <w:drawing>
                <wp:inline distT="0" distB="0" distL="114300" distR="114300">
                  <wp:extent cx="2674620" cy="2005965"/>
                  <wp:effectExtent l="0" t="0" r="11430" b="13335"/>
                  <wp:docPr id="3" name="图片 3" descr="f9728f2ca9f6c06c51322cc1d6d4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728f2ca9f6c06c51322cc1d6d4d05"/>
                          <pic:cNvPicPr>
                            <a:picLocks noChangeAspect="1"/>
                          </pic:cNvPicPr>
                        </pic:nvPicPr>
                        <pic:blipFill>
                          <a:blip r:embed="rId4"/>
                          <a:stretch>
                            <a:fillRect/>
                          </a:stretch>
                        </pic:blipFill>
                        <pic:spPr>
                          <a:xfrm>
                            <a:off x="0" y="0"/>
                            <a:ext cx="2674620" cy="2005965"/>
                          </a:xfrm>
                          <a:prstGeom prst="rect">
                            <a:avLst/>
                          </a:prstGeom>
                        </pic:spPr>
                      </pic:pic>
                    </a:graphicData>
                  </a:graphic>
                </wp:inline>
              </w:drawing>
            </w:r>
          </w:p>
          <w:p>
            <w:pPr>
              <w:adjustRightInd/>
              <w:snapToGrid/>
              <w:spacing w:after="0"/>
              <w:ind w:firstLine="420"/>
              <w:jc w:val="both"/>
              <w:rPr>
                <w:rFonts w:hint="default" w:ascii="宋体" w:hAnsi="宋体" w:eastAsia="宋体" w:cs="Tahoma"/>
                <w:color w:val="auto"/>
                <w:lang w:val="en-US" w:eastAsia="zh-CN"/>
              </w:rPr>
            </w:pPr>
          </w:p>
          <w:p>
            <w:pPr>
              <w:jc w:val="both"/>
              <w:rPr>
                <w:rFonts w:hint="default" w:ascii="宋体" w:hAnsi="宋体" w:cs="宋体"/>
                <w:color w:val="auto"/>
                <w:sz w:val="21"/>
                <w:szCs w:val="21"/>
                <w:lang w:val="en-US" w:eastAsia="zh-CN"/>
              </w:rPr>
            </w:pPr>
          </w:p>
        </w:tc>
        <w:tc>
          <w:tcPr>
            <w:tcW w:w="1050" w:type="dxa"/>
            <w:noWrap w:val="0"/>
            <w:vAlign w:val="center"/>
          </w:tcPr>
          <w:p>
            <w:pPr>
              <w:jc w:val="both"/>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616" w:type="dxa"/>
            <w:noWrap w:val="0"/>
            <w:vAlign w:val="center"/>
          </w:tcPr>
          <w:p>
            <w:pPr>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w:t>
            </w:r>
          </w:p>
        </w:tc>
        <w:tc>
          <w:tcPr>
            <w:tcW w:w="1317" w:type="dxa"/>
            <w:noWrap w:val="0"/>
            <w:vAlign w:val="center"/>
          </w:tcPr>
          <w:p>
            <w:p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注射</w:t>
            </w:r>
            <w:r>
              <w:rPr>
                <w:rFonts w:hint="eastAsia" w:ascii="宋体" w:hAnsi="宋体" w:eastAsia="宋体" w:cs="宋体"/>
                <w:color w:val="auto"/>
                <w:sz w:val="21"/>
                <w:szCs w:val="21"/>
                <w:lang w:val="en-US" w:eastAsia="zh-CN"/>
              </w:rPr>
              <w:t>器辅助推进器</w:t>
            </w:r>
          </w:p>
        </w:tc>
        <w:tc>
          <w:tcPr>
            <w:tcW w:w="901" w:type="dxa"/>
            <w:noWrap w:val="0"/>
            <w:vAlign w:val="center"/>
          </w:tcPr>
          <w:p>
            <w:pPr>
              <w:jc w:val="both"/>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各型号</w:t>
            </w:r>
          </w:p>
        </w:tc>
        <w:tc>
          <w:tcPr>
            <w:tcW w:w="666" w:type="dxa"/>
            <w:noWrap w:val="0"/>
            <w:vAlign w:val="center"/>
          </w:tcPr>
          <w:p>
            <w:pPr>
              <w:jc w:val="both"/>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个</w:t>
            </w:r>
          </w:p>
        </w:tc>
        <w:tc>
          <w:tcPr>
            <w:tcW w:w="648" w:type="dxa"/>
            <w:noWrap w:val="0"/>
            <w:vAlign w:val="center"/>
          </w:tcPr>
          <w:p>
            <w:pPr>
              <w:jc w:val="both"/>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49.8</w:t>
            </w:r>
          </w:p>
        </w:tc>
        <w:tc>
          <w:tcPr>
            <w:tcW w:w="720" w:type="dxa"/>
            <w:noWrap w:val="0"/>
            <w:vAlign w:val="center"/>
          </w:tcPr>
          <w:p>
            <w:pPr>
              <w:jc w:val="both"/>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500</w:t>
            </w:r>
          </w:p>
        </w:tc>
        <w:tc>
          <w:tcPr>
            <w:tcW w:w="4432"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产品由充气球囊、连接管道、橡胶活塞和气筒组成。不接触注射药液，非无菌提供，不具有剂量控制功能，</w:t>
            </w:r>
          </w:p>
          <w:p>
            <w:pPr>
              <w:ind w:firstLine="42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配合注射器等使用，用于对注射器进行辅助推注。</w:t>
            </w: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参考图片：</w:t>
            </w: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drawing>
                <wp:inline distT="0" distB="0" distL="114300" distR="114300">
                  <wp:extent cx="2670175" cy="1334770"/>
                  <wp:effectExtent l="0" t="0" r="15875" b="17780"/>
                  <wp:docPr id="9" name="图片 9" descr="4d08e809e421b22172c3238c4e9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d08e809e421b22172c3238c4e93742"/>
                          <pic:cNvPicPr>
                            <a:picLocks noChangeAspect="1"/>
                          </pic:cNvPicPr>
                        </pic:nvPicPr>
                        <pic:blipFill>
                          <a:blip r:embed="rId5"/>
                          <a:stretch>
                            <a:fillRect/>
                          </a:stretch>
                        </pic:blipFill>
                        <pic:spPr>
                          <a:xfrm>
                            <a:off x="0" y="0"/>
                            <a:ext cx="2670175" cy="1334770"/>
                          </a:xfrm>
                          <a:prstGeom prst="rect">
                            <a:avLst/>
                          </a:prstGeom>
                        </pic:spPr>
                      </pic:pic>
                    </a:graphicData>
                  </a:graphic>
                </wp:inline>
              </w:drawing>
            </w:r>
          </w:p>
          <w:p>
            <w:pPr>
              <w:jc w:val="both"/>
              <w:rPr>
                <w:rFonts w:hint="default" w:ascii="宋体" w:hAnsi="宋体" w:eastAsia="宋体" w:cs="宋体"/>
                <w:color w:val="auto"/>
                <w:sz w:val="21"/>
                <w:szCs w:val="21"/>
                <w:lang w:val="en-US" w:eastAsia="zh-CN"/>
              </w:rPr>
            </w:pPr>
          </w:p>
        </w:tc>
        <w:tc>
          <w:tcPr>
            <w:tcW w:w="1050" w:type="dxa"/>
            <w:noWrap w:val="0"/>
            <w:vAlign w:val="center"/>
          </w:tcPr>
          <w:p>
            <w:pPr>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616" w:type="dxa"/>
            <w:noWrap w:val="0"/>
            <w:vAlign w:val="center"/>
          </w:tcPr>
          <w:p>
            <w:pPr>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1317"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一次性使用乳腺旋切活检针</w:t>
            </w:r>
          </w:p>
        </w:tc>
        <w:tc>
          <w:tcPr>
            <w:tcW w:w="901" w:type="dxa"/>
            <w:noWrap w:val="0"/>
            <w:vAlign w:val="center"/>
          </w:tcPr>
          <w:p>
            <w:pPr>
              <w:jc w:val="both"/>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各型号</w:t>
            </w:r>
          </w:p>
        </w:tc>
        <w:tc>
          <w:tcPr>
            <w:tcW w:w="666" w:type="dxa"/>
            <w:noWrap w:val="0"/>
            <w:vAlign w:val="center"/>
          </w:tcPr>
          <w:p>
            <w:pPr>
              <w:jc w:val="both"/>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套</w:t>
            </w:r>
          </w:p>
        </w:tc>
        <w:tc>
          <w:tcPr>
            <w:tcW w:w="648" w:type="dxa"/>
            <w:noWrap w:val="0"/>
            <w:vAlign w:val="center"/>
          </w:tcPr>
          <w:p>
            <w:pPr>
              <w:jc w:val="both"/>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2900</w:t>
            </w:r>
          </w:p>
        </w:tc>
        <w:tc>
          <w:tcPr>
            <w:tcW w:w="720" w:type="dxa"/>
            <w:noWrap w:val="0"/>
            <w:vAlign w:val="center"/>
          </w:tcPr>
          <w:p>
            <w:pPr>
              <w:jc w:val="both"/>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340</w:t>
            </w:r>
          </w:p>
        </w:tc>
        <w:tc>
          <w:tcPr>
            <w:tcW w:w="4432"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产品由穿刺旋切（探）针刀(刀尖,内刀管，外刀管，收集藏，手柄)和真空管套件（气路管，接头，主机插板，锥形街头）组成，刀尖由s46910材料制成，内刀管和外刀管由06Cr19Ni10材料制成。</w:t>
            </w:r>
          </w:p>
          <w:p>
            <w:pPr>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产品与麦默通乳房旋切系统主机（</w:t>
            </w:r>
            <w:r>
              <w:rPr>
                <w:rFonts w:hint="eastAsia" w:ascii="宋体" w:hAnsi="宋体" w:eastAsia="宋体" w:cs="宋体"/>
                <w:color w:val="auto"/>
                <w:sz w:val="21"/>
                <w:szCs w:val="21"/>
                <w:lang w:val="en-US" w:eastAsia="zh-CN"/>
              </w:rPr>
              <w:t>SCM23</w:t>
            </w:r>
            <w:r>
              <w:rPr>
                <w:rFonts w:hint="eastAsia" w:ascii="宋体" w:hAnsi="宋体" w:eastAsia="宋体" w:cs="宋体"/>
                <w:color w:val="auto"/>
                <w:sz w:val="21"/>
                <w:szCs w:val="21"/>
                <w:lang w:eastAsia="zh-CN"/>
              </w:rPr>
              <w:t>）配合使用，在超声设备监视下对患者影像学检查或触诊检查异常的乳腺组织完全或局部切除，供活检取样使用。并在耗材供应期间免费（</w:t>
            </w:r>
            <w:r>
              <w:rPr>
                <w:rFonts w:hint="eastAsia" w:ascii="宋体" w:hAnsi="宋体" w:eastAsia="宋体" w:cs="宋体"/>
                <w:color w:val="auto"/>
                <w:sz w:val="21"/>
                <w:szCs w:val="21"/>
                <w:lang w:val="en-US" w:eastAsia="zh-CN"/>
              </w:rPr>
              <w:t>包含配件、人工等</w:t>
            </w:r>
          </w:p>
          <w:p>
            <w:pPr>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）负责设备</w:t>
            </w:r>
            <w:r>
              <w:rPr>
                <w:rFonts w:hint="eastAsia" w:ascii="宋体" w:hAnsi="宋体" w:eastAsia="宋体" w:cs="宋体"/>
                <w:color w:val="auto"/>
                <w:sz w:val="21"/>
                <w:szCs w:val="21"/>
                <w:lang w:val="en-US" w:eastAsia="zh-CN"/>
              </w:rPr>
              <w:t>/手柄等的维保服务。</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参考图片：</w:t>
            </w:r>
          </w:p>
          <w:p>
            <w:pPr>
              <w:jc w:val="both"/>
              <w:rPr>
                <w:rFonts w:hint="eastAsia" w:ascii="宋体" w:hAnsi="宋体" w:eastAsia="宋体" w:cs="宋体"/>
                <w:color w:val="auto"/>
                <w:sz w:val="21"/>
                <w:szCs w:val="21"/>
                <w:lang w:eastAsia="zh-CN"/>
              </w:rPr>
            </w:pP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2633345" cy="1974850"/>
                  <wp:effectExtent l="0" t="0" r="14605" b="6350"/>
                  <wp:docPr id="7" name="图片 7" descr="微信图片_2019120908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209084608"/>
                          <pic:cNvPicPr>
                            <a:picLocks noChangeAspect="1"/>
                          </pic:cNvPicPr>
                        </pic:nvPicPr>
                        <pic:blipFill>
                          <a:blip r:embed="rId6"/>
                          <a:stretch>
                            <a:fillRect/>
                          </a:stretch>
                        </pic:blipFill>
                        <pic:spPr>
                          <a:xfrm>
                            <a:off x="0" y="0"/>
                            <a:ext cx="2633345" cy="1974850"/>
                          </a:xfrm>
                          <a:prstGeom prst="rect">
                            <a:avLst/>
                          </a:prstGeom>
                        </pic:spPr>
                      </pic:pic>
                    </a:graphicData>
                  </a:graphic>
                </wp:inline>
              </w:drawing>
            </w:r>
          </w:p>
        </w:tc>
        <w:tc>
          <w:tcPr>
            <w:tcW w:w="1050" w:type="dxa"/>
            <w:noWrap w:val="0"/>
            <w:vAlign w:val="center"/>
          </w:tcPr>
          <w:p>
            <w:pPr>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986000</w:t>
            </w:r>
          </w:p>
        </w:tc>
      </w:tr>
    </w:tbl>
    <w:p>
      <w:pPr>
        <w:pStyle w:val="3"/>
        <w:spacing w:line="500" w:lineRule="exact"/>
        <w:rPr>
          <w:rFonts w:hint="eastAsia" w:hAnsi="宋体" w:cs="宋体"/>
          <w:bCs/>
          <w:color w:val="000000"/>
        </w:rPr>
      </w:pPr>
      <w:r>
        <w:rPr>
          <w:rFonts w:hint="eastAsia" w:hAnsi="宋体" w:cs="宋体"/>
          <w:bCs/>
          <w:color w:val="000000"/>
        </w:rPr>
        <w:t xml:space="preserve">注: </w:t>
      </w:r>
    </w:p>
    <w:p>
      <w:pPr>
        <w:pStyle w:val="3"/>
        <w:spacing w:line="500" w:lineRule="exact"/>
        <w:ind w:firstLine="315" w:firstLineChars="150"/>
        <w:rPr>
          <w:rFonts w:hint="eastAsia" w:hAnsi="宋体" w:cs="宋体" w:eastAsiaTheme="minorEastAsia"/>
          <w:bCs/>
          <w:color w:val="000000"/>
          <w:lang w:eastAsia="zh-CN"/>
        </w:rPr>
      </w:pPr>
      <w:r>
        <w:rPr>
          <w:rFonts w:hint="eastAsia" w:hAnsi="宋体" w:cs="宋体"/>
          <w:bCs/>
          <w:color w:val="000000"/>
        </w:rPr>
        <w:t>1.以上条款必须满足，否则视为无效</w:t>
      </w:r>
      <w:r>
        <w:rPr>
          <w:rFonts w:hint="eastAsia" w:hAnsi="宋体" w:cs="宋体"/>
          <w:bCs/>
          <w:color w:val="000000"/>
          <w:lang w:eastAsia="zh-CN"/>
        </w:rPr>
        <w:t>投报</w:t>
      </w:r>
      <w:r>
        <w:rPr>
          <w:rFonts w:hint="eastAsia" w:hAnsi="宋体" w:cs="宋体"/>
          <w:bCs/>
          <w:color w:val="000000"/>
        </w:rPr>
        <w:t>。</w:t>
      </w:r>
      <w:bookmarkStart w:id="0" w:name="OLE_LINK1"/>
    </w:p>
    <w:p>
      <w:pPr>
        <w:pStyle w:val="3"/>
        <w:spacing w:line="500" w:lineRule="exact"/>
        <w:ind w:firstLine="315" w:firstLineChars="150"/>
        <w:rPr>
          <w:rFonts w:hint="eastAsia" w:hAnsi="宋体" w:cs="宋体"/>
          <w:bCs/>
          <w:color w:val="000000"/>
        </w:rPr>
      </w:pPr>
      <w:r>
        <w:rPr>
          <w:rFonts w:hint="eastAsia" w:hAnsi="宋体" w:cs="宋体"/>
          <w:bCs/>
          <w:color w:val="000000"/>
        </w:rPr>
        <w:t>2. 属于集采平台产品，必须满足两票制，并在平台配送，如因集采平台价格降低导致价格低于合同价，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pPr>
        <w:ind w:firstLine="210" w:firstLineChars="100"/>
        <w:rPr>
          <w:rFonts w:hint="eastAsia" w:hAnsi="宋体" w:cs="宋体"/>
          <w:bCs/>
          <w:color w:val="000000"/>
        </w:rPr>
      </w:pPr>
      <w:r>
        <w:rPr>
          <w:rFonts w:hint="eastAsia" w:hAnsi="宋体" w:cs="宋体"/>
          <w:bCs/>
          <w:color w:val="000000"/>
        </w:rPr>
        <w:t>3.为杜绝采购过程中一切不正当竞争行为，所有</w:t>
      </w:r>
      <w:r>
        <w:rPr>
          <w:rFonts w:hint="eastAsia" w:hAnsi="宋体" w:cs="宋体"/>
          <w:bCs/>
          <w:color w:val="000000"/>
          <w:lang w:eastAsia="zh-CN"/>
        </w:rPr>
        <w:t>中选供货商</w:t>
      </w:r>
      <w:r>
        <w:rPr>
          <w:rFonts w:hint="eastAsia" w:hAnsi="宋体" w:cs="宋体"/>
          <w:bCs/>
          <w:color w:val="000000"/>
        </w:rPr>
        <w:t>必须保证正常供货，满足院方需求。如不能正常供货者，将列入黑名单，三年内将不能参与我院所有医用耗材的投</w:t>
      </w:r>
      <w:r>
        <w:rPr>
          <w:rFonts w:hint="eastAsia" w:hAnsi="宋体" w:cs="宋体"/>
          <w:bCs/>
          <w:color w:val="000000"/>
          <w:lang w:eastAsia="zh-CN"/>
        </w:rPr>
        <w:t>报</w:t>
      </w:r>
      <w:r>
        <w:rPr>
          <w:rFonts w:hint="eastAsia" w:hAnsi="宋体" w:cs="宋体"/>
          <w:bCs/>
          <w:color w:val="000000"/>
        </w:rPr>
        <w:t>，并停止在我院在供货物。</w:t>
      </w:r>
      <w:bookmarkEnd w:id="0"/>
    </w:p>
    <w:p>
      <w:pPr>
        <w:ind w:left="0" w:leftChars="0" w:firstLine="0" w:firstLineChars="0"/>
        <w:rPr>
          <w:rFonts w:hint="eastAsia" w:hAnsi="宋体" w:cs="宋体"/>
          <w:bCs/>
          <w:color w:val="000000"/>
        </w:rPr>
      </w:pPr>
      <w:r>
        <w:rPr>
          <w:rFonts w:hint="eastAsia" w:hAnsi="宋体" w:cs="宋体"/>
          <w:bCs/>
          <w:color w:val="000000"/>
          <w:lang w:val="en-US" w:eastAsia="zh-CN"/>
        </w:rPr>
        <w:t xml:space="preserve">  4、</w:t>
      </w:r>
      <w:r>
        <w:rPr>
          <w:rFonts w:hint="eastAsia" w:hAnsi="宋体" w:cs="宋体"/>
          <w:bCs/>
          <w:color w:val="000000"/>
          <w:lang w:eastAsia="zh-CN"/>
        </w:rPr>
        <w:t>提供虚假业绩的供应商</w:t>
      </w:r>
      <w:r>
        <w:rPr>
          <w:rFonts w:hint="eastAsia" w:hAnsi="宋体" w:cs="宋体"/>
          <w:bCs/>
          <w:color w:val="000000"/>
        </w:rPr>
        <w:t>将列入黑名单，三年内将不能参与我院所有医用耗材的投</w:t>
      </w:r>
      <w:r>
        <w:rPr>
          <w:rFonts w:hint="eastAsia" w:hAnsi="宋体" w:cs="宋体"/>
          <w:bCs/>
          <w:color w:val="000000"/>
          <w:lang w:eastAsia="zh-CN"/>
        </w:rPr>
        <w:t>报</w:t>
      </w:r>
      <w:r>
        <w:rPr>
          <w:rFonts w:hint="eastAsia" w:hAnsi="宋体" w:cs="宋体"/>
          <w:bCs/>
          <w:color w:val="000000"/>
        </w:rPr>
        <w:t>，并停止在我院在供货物。</w:t>
      </w:r>
    </w:p>
    <w:p>
      <w:pPr>
        <w:rPr>
          <w:rFonts w:hint="eastAsia"/>
          <w:lang w:val="en-US" w:eastAsia="zh-CN"/>
        </w:rPr>
      </w:pPr>
      <w:bookmarkStart w:id="1" w:name="_GoBack"/>
      <w:bookmarkEnd w:id="1"/>
    </w:p>
    <w:sectPr>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金山简魏碑">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D17AD"/>
    <w:rsid w:val="00916B08"/>
    <w:rsid w:val="014D3873"/>
    <w:rsid w:val="01D54630"/>
    <w:rsid w:val="037D3A57"/>
    <w:rsid w:val="07786AA8"/>
    <w:rsid w:val="083E70DC"/>
    <w:rsid w:val="08763C64"/>
    <w:rsid w:val="096E09F1"/>
    <w:rsid w:val="0975604D"/>
    <w:rsid w:val="097E547D"/>
    <w:rsid w:val="0B2638CF"/>
    <w:rsid w:val="128248A8"/>
    <w:rsid w:val="16E855B4"/>
    <w:rsid w:val="197015C0"/>
    <w:rsid w:val="1B4F235A"/>
    <w:rsid w:val="1BD103D6"/>
    <w:rsid w:val="1C013092"/>
    <w:rsid w:val="1C1A02A8"/>
    <w:rsid w:val="1E2231F5"/>
    <w:rsid w:val="21CD17AD"/>
    <w:rsid w:val="2411092A"/>
    <w:rsid w:val="28DE32B6"/>
    <w:rsid w:val="294F4197"/>
    <w:rsid w:val="2C9724F4"/>
    <w:rsid w:val="306B038E"/>
    <w:rsid w:val="309D58DA"/>
    <w:rsid w:val="32F33B10"/>
    <w:rsid w:val="34E91D85"/>
    <w:rsid w:val="352B2776"/>
    <w:rsid w:val="3A19481E"/>
    <w:rsid w:val="3C53109B"/>
    <w:rsid w:val="42053B0D"/>
    <w:rsid w:val="45176E25"/>
    <w:rsid w:val="46386423"/>
    <w:rsid w:val="47DF7B24"/>
    <w:rsid w:val="4A8137F6"/>
    <w:rsid w:val="4C4D0D94"/>
    <w:rsid w:val="4D134A83"/>
    <w:rsid w:val="4EB13DC9"/>
    <w:rsid w:val="4F37540D"/>
    <w:rsid w:val="4F5C778D"/>
    <w:rsid w:val="5209329F"/>
    <w:rsid w:val="52A14698"/>
    <w:rsid w:val="52E448E6"/>
    <w:rsid w:val="59C417F8"/>
    <w:rsid w:val="5A4124FD"/>
    <w:rsid w:val="60860309"/>
    <w:rsid w:val="60B010EB"/>
    <w:rsid w:val="61AB247F"/>
    <w:rsid w:val="624825FC"/>
    <w:rsid w:val="63EB7898"/>
    <w:rsid w:val="67680505"/>
    <w:rsid w:val="68BC7E69"/>
    <w:rsid w:val="69423689"/>
    <w:rsid w:val="6C926103"/>
    <w:rsid w:val="6D2B2949"/>
    <w:rsid w:val="6DD6592E"/>
    <w:rsid w:val="6E124AEA"/>
    <w:rsid w:val="6FC66695"/>
    <w:rsid w:val="70242345"/>
    <w:rsid w:val="703A2EBC"/>
    <w:rsid w:val="72681CBA"/>
    <w:rsid w:val="72E66D74"/>
    <w:rsid w:val="76A204BA"/>
    <w:rsid w:val="78AE3134"/>
    <w:rsid w:val="7C44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金山简魏碑"/>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2019-11-22T03:26:00Z</dcterms:created>
  <dc:creator>####</dc:creator>
  <cp:lastModifiedBy>####</cp:lastModifiedBy>
  <dcterms:modified xsi:type="dcterms:W3CDTF">2019-12-23T03:13:53Z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